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79E0">
      <w:pPr>
        <w:spacing w:line="240" w:lineRule="exact"/>
        <w:jc w:val="center"/>
        <w:rPr>
          <w:rFonts w:ascii="宋体" w:hAnsi="宋体" w:eastAsia="宋体" w:cs="Times New Roman"/>
          <w:b/>
          <w:bCs/>
          <w:sz w:val="44"/>
          <w:szCs w:val="44"/>
        </w:rPr>
      </w:pPr>
    </w:p>
    <w:p w14:paraId="597DCEBD">
      <w:pPr>
        <w:jc w:val="center"/>
        <w:rPr>
          <w:rFonts w:ascii="宋体" w:hAnsi="宋体" w:eastAsia="宋体" w:cs="Times New Roman"/>
          <w:b/>
          <w:bCs/>
          <w:sz w:val="44"/>
          <w:szCs w:val="44"/>
        </w:rPr>
      </w:pPr>
    </w:p>
    <w:p w14:paraId="7A8E704C">
      <w:pPr>
        <w:jc w:val="center"/>
        <w:rPr>
          <w:rFonts w:ascii="宋体" w:hAnsi="宋体" w:eastAsia="宋体" w:cs="Times New Roman"/>
          <w:b/>
          <w:bCs/>
          <w:sz w:val="44"/>
          <w:szCs w:val="44"/>
        </w:rPr>
      </w:pPr>
      <w:r>
        <w:rPr>
          <w:rFonts w:hint="eastAsia" w:ascii="宋体" w:hAnsi="宋体" w:eastAsia="宋体" w:cs="Times New Roman"/>
          <w:b/>
          <w:bCs/>
          <w:sz w:val="44"/>
          <w:szCs w:val="44"/>
          <w:lang w:val="en-US" w:eastAsia="zh-CN"/>
        </w:rPr>
        <w:t>三门峡市陕州区主城区照明设施设备更新改造项目（陕州大道段）</w:t>
      </w:r>
    </w:p>
    <w:p w14:paraId="34522ED0">
      <w:pPr>
        <w:jc w:val="center"/>
        <w:rPr>
          <w:rFonts w:ascii="宋体" w:hAnsi="宋体" w:eastAsia="宋体" w:cs="宋体"/>
          <w:b/>
          <w:bCs/>
          <w:sz w:val="28"/>
          <w:szCs w:val="28"/>
        </w:rPr>
      </w:pPr>
    </w:p>
    <w:p w14:paraId="772AE3AB">
      <w:pPr>
        <w:jc w:val="center"/>
        <w:rPr>
          <w:rFonts w:ascii="宋体" w:hAnsi="宋体" w:eastAsia="宋体" w:cs="宋体"/>
          <w:b/>
          <w:bCs/>
          <w:sz w:val="28"/>
          <w:szCs w:val="28"/>
        </w:rPr>
      </w:pPr>
    </w:p>
    <w:p w14:paraId="34A3EE97">
      <w:pPr>
        <w:spacing w:line="360" w:lineRule="auto"/>
        <w:ind w:firstLine="420"/>
        <w:rPr>
          <w:rFonts w:ascii="宋体" w:hAnsi="宋体" w:eastAsia="宋体" w:cs="宋体"/>
          <w:b/>
          <w:kern w:val="1"/>
          <w:sz w:val="24"/>
          <w:szCs w:val="21"/>
        </w:rPr>
      </w:pPr>
    </w:p>
    <w:p w14:paraId="2BC60B31">
      <w:pPr>
        <w:spacing w:line="360" w:lineRule="auto"/>
        <w:jc w:val="center"/>
        <w:rPr>
          <w:rFonts w:ascii="宋体" w:hAnsi="宋体" w:eastAsia="宋体" w:cs="Times New Roman"/>
          <w:b/>
          <w:bCs/>
          <w:sz w:val="76"/>
          <w:szCs w:val="76"/>
        </w:rPr>
      </w:pPr>
      <w:r>
        <w:rPr>
          <w:rFonts w:hint="eastAsia" w:ascii="宋体" w:hAnsi="宋体" w:eastAsia="宋体" w:cs="Times New Roman"/>
          <w:b/>
          <w:bCs/>
          <w:sz w:val="76"/>
          <w:szCs w:val="76"/>
        </w:rPr>
        <w:t>竞争性磋商文件</w:t>
      </w:r>
    </w:p>
    <w:p w14:paraId="37938648">
      <w:pPr>
        <w:keepNext/>
        <w:keepLines/>
        <w:spacing w:before="160" w:after="160" w:line="400" w:lineRule="exact"/>
        <w:ind w:left="851" w:hanging="284"/>
        <w:textAlignment w:val="baseline"/>
        <w:outlineLvl w:val="1"/>
        <w:rPr>
          <w:rFonts w:ascii="宋体" w:hAnsi="宋体" w:eastAsia="宋体" w:cs="Times New Roman"/>
          <w:kern w:val="0"/>
          <w:sz w:val="28"/>
          <w:szCs w:val="28"/>
        </w:rPr>
      </w:pPr>
    </w:p>
    <w:p w14:paraId="0460385B">
      <w:pPr>
        <w:spacing w:line="360" w:lineRule="auto"/>
        <w:jc w:val="center"/>
        <w:rPr>
          <w:rFonts w:hint="eastAsia" w:ascii="宋体" w:hAnsi="宋体" w:eastAsia="宋体" w:cs="宋体"/>
          <w:b/>
          <w:bCs/>
          <w:kern w:val="1"/>
          <w:sz w:val="30"/>
          <w:szCs w:val="30"/>
          <w:highlight w:val="none"/>
        </w:rPr>
      </w:pPr>
      <w:r>
        <w:rPr>
          <w:rFonts w:hint="eastAsia" w:ascii="宋体" w:hAnsi="宋体" w:eastAsia="宋体" w:cs="宋体"/>
          <w:b/>
          <w:bCs/>
          <w:kern w:val="1"/>
          <w:sz w:val="30"/>
          <w:szCs w:val="30"/>
          <w:highlight w:val="none"/>
        </w:rPr>
        <w:t>项目编号：陕州竞磋采购-2025-139；SZGZ[2025]242-ZC168</w:t>
      </w:r>
    </w:p>
    <w:p w14:paraId="78085AAE">
      <w:pPr>
        <w:spacing w:line="360" w:lineRule="auto"/>
        <w:jc w:val="center"/>
        <w:rPr>
          <w:rFonts w:hint="eastAsia" w:ascii="宋体" w:hAnsi="宋体" w:eastAsia="宋体" w:cs="宋体"/>
          <w:b/>
          <w:bCs/>
          <w:kern w:val="1"/>
          <w:sz w:val="30"/>
          <w:szCs w:val="30"/>
          <w:highlight w:val="none"/>
          <w:lang w:eastAsia="zh-CN"/>
        </w:rPr>
      </w:pPr>
      <w:r>
        <w:rPr>
          <w:rFonts w:hint="eastAsia" w:ascii="宋体" w:hAnsi="宋体" w:eastAsia="宋体" w:cs="宋体"/>
          <w:b/>
          <w:bCs/>
          <w:kern w:val="1"/>
          <w:sz w:val="30"/>
          <w:szCs w:val="30"/>
          <w:highlight w:val="none"/>
          <w:lang w:val="en-US" w:eastAsia="zh-CN"/>
        </w:rPr>
        <w:t xml:space="preserve">  </w:t>
      </w:r>
    </w:p>
    <w:p w14:paraId="38943D0C">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lang w:val="en-US" w:eastAsia="zh-CN"/>
        </w:rPr>
        <w:t xml:space="preserve"> </w:t>
      </w:r>
    </w:p>
    <w:p w14:paraId="115D1128">
      <w:pPr>
        <w:spacing w:line="360" w:lineRule="auto"/>
        <w:jc w:val="center"/>
        <w:rPr>
          <w:rFonts w:hint="default" w:ascii="宋体" w:hAnsi="宋体" w:eastAsia="宋体" w:cs="宋体"/>
          <w:b/>
          <w:bCs/>
          <w:kern w:val="1"/>
          <w:sz w:val="30"/>
          <w:szCs w:val="30"/>
          <w:lang w:val="en-US" w:eastAsia="zh-CN"/>
        </w:rPr>
      </w:pPr>
    </w:p>
    <w:p w14:paraId="7A7FDD77">
      <w:pPr>
        <w:spacing w:line="360" w:lineRule="auto"/>
        <w:jc w:val="center"/>
        <w:rPr>
          <w:rFonts w:ascii="宋体" w:hAnsi="宋体" w:eastAsia="宋体" w:cs="Times New Roman"/>
          <w:b/>
          <w:bCs/>
          <w:sz w:val="30"/>
          <w:szCs w:val="30"/>
        </w:rPr>
      </w:pPr>
      <w:r>
        <w:rPr>
          <w:rFonts w:hint="eastAsia" w:ascii="宋体" w:hAnsi="宋体" w:eastAsia="宋体" w:cs="宋体"/>
          <w:b/>
          <w:bCs/>
          <w:kern w:val="1"/>
          <w:sz w:val="30"/>
          <w:szCs w:val="30"/>
        </w:rPr>
        <w:t xml:space="preserve">     </w:t>
      </w:r>
    </w:p>
    <w:p w14:paraId="5F727788">
      <w:pPr>
        <w:jc w:val="center"/>
        <w:rPr>
          <w:rFonts w:ascii="宋体" w:hAnsi="宋体" w:eastAsia="宋体" w:cs="Times New Roman"/>
          <w:b/>
          <w:bCs/>
          <w:sz w:val="30"/>
          <w:szCs w:val="30"/>
        </w:rPr>
      </w:pPr>
    </w:p>
    <w:p w14:paraId="6FC04881">
      <w:pPr>
        <w:spacing w:line="360" w:lineRule="auto"/>
        <w:ind w:firstLine="420"/>
        <w:jc w:val="center"/>
        <w:rPr>
          <w:rFonts w:ascii="宋体" w:hAnsi="宋体" w:eastAsia="宋体" w:cs="宋体"/>
          <w:b/>
          <w:kern w:val="1"/>
          <w:sz w:val="24"/>
          <w:szCs w:val="21"/>
        </w:rPr>
      </w:pPr>
    </w:p>
    <w:p w14:paraId="31529285">
      <w:pPr>
        <w:spacing w:line="360" w:lineRule="auto"/>
        <w:ind w:firstLine="420"/>
        <w:jc w:val="center"/>
        <w:rPr>
          <w:rFonts w:ascii="宋体" w:hAnsi="宋体" w:eastAsia="宋体" w:cs="宋体"/>
          <w:b/>
          <w:kern w:val="1"/>
          <w:sz w:val="24"/>
          <w:szCs w:val="21"/>
        </w:rPr>
      </w:pPr>
    </w:p>
    <w:p w14:paraId="4AB6ADBE">
      <w:pPr>
        <w:spacing w:line="360" w:lineRule="auto"/>
        <w:ind w:firstLine="420"/>
        <w:jc w:val="center"/>
        <w:rPr>
          <w:rFonts w:ascii="宋体" w:hAnsi="宋体" w:eastAsia="宋体" w:cs="宋体"/>
          <w:b/>
          <w:kern w:val="1"/>
          <w:sz w:val="24"/>
          <w:szCs w:val="21"/>
        </w:rPr>
      </w:pPr>
    </w:p>
    <w:p w14:paraId="6754E7C9">
      <w:pPr>
        <w:spacing w:line="360" w:lineRule="auto"/>
        <w:ind w:firstLine="1558" w:firstLineChars="485"/>
        <w:jc w:val="left"/>
        <w:rPr>
          <w:rFonts w:ascii="宋体" w:hAnsi="宋体" w:eastAsia="宋体" w:cs="Times New Roman"/>
          <w:b/>
          <w:bCs/>
          <w:kern w:val="0"/>
          <w:sz w:val="32"/>
          <w:szCs w:val="32"/>
        </w:rPr>
      </w:pPr>
    </w:p>
    <w:p w14:paraId="05C0FABC">
      <w:pPr>
        <w:spacing w:line="360" w:lineRule="auto"/>
        <w:ind w:firstLine="1558" w:firstLineChars="485"/>
        <w:jc w:val="left"/>
        <w:rPr>
          <w:rFonts w:ascii="宋体" w:hAnsi="宋体" w:eastAsia="宋体" w:cs="Times New Roman"/>
          <w:b/>
          <w:bCs/>
          <w:kern w:val="0"/>
          <w:sz w:val="32"/>
          <w:szCs w:val="32"/>
        </w:rPr>
      </w:pPr>
    </w:p>
    <w:p w14:paraId="18A49E95">
      <w:pPr>
        <w:spacing w:line="360" w:lineRule="auto"/>
        <w:ind w:firstLine="1558" w:firstLineChars="485"/>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采</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购</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人：三门峡市陕州区城市管理局</w:t>
      </w:r>
    </w:p>
    <w:p w14:paraId="44827CE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采购代理机构：</w:t>
      </w:r>
      <w:r>
        <w:rPr>
          <w:rFonts w:hint="eastAsia" w:ascii="宋体" w:hAnsi="宋体" w:eastAsia="宋体" w:cs="Times New Roman"/>
          <w:b/>
          <w:bCs/>
          <w:kern w:val="0"/>
          <w:sz w:val="32"/>
          <w:szCs w:val="32"/>
          <w:lang w:eastAsia="zh-CN"/>
        </w:rPr>
        <w:t>正为技术有限公司</w:t>
      </w:r>
    </w:p>
    <w:p w14:paraId="1ED28D67">
      <w:pPr>
        <w:widowControl/>
        <w:spacing w:line="360" w:lineRule="auto"/>
        <w:ind w:firstLine="1558" w:firstLineChars="485"/>
        <w:rPr>
          <w:rFonts w:ascii="宋体" w:hAnsi="宋体" w:eastAsia="宋体" w:cs="Times New Roman"/>
          <w:szCs w:val="21"/>
        </w:rPr>
      </w:pPr>
      <w:r>
        <w:rPr>
          <w:rFonts w:hint="eastAsia" w:ascii="宋体" w:hAnsi="宋体" w:eastAsia="宋体" w:cs="Times New Roman"/>
          <w:b/>
          <w:bCs/>
          <w:kern w:val="0"/>
          <w:sz w:val="32"/>
          <w:szCs w:val="32"/>
        </w:rPr>
        <w:t>日        期：二零二</w:t>
      </w:r>
      <w:r>
        <w:rPr>
          <w:rFonts w:hint="eastAsia" w:ascii="宋体" w:hAnsi="宋体" w:eastAsia="宋体" w:cs="Times New Roman"/>
          <w:b/>
          <w:bCs/>
          <w:kern w:val="0"/>
          <w:sz w:val="32"/>
          <w:szCs w:val="32"/>
          <w:lang w:val="en-US" w:eastAsia="zh-CN"/>
        </w:rPr>
        <w:t>五</w:t>
      </w:r>
      <w:r>
        <w:rPr>
          <w:rFonts w:hint="eastAsia" w:ascii="宋体" w:hAnsi="宋体" w:eastAsia="宋体" w:cs="Times New Roman"/>
          <w:b/>
          <w:bCs/>
          <w:kern w:val="0"/>
          <w:sz w:val="32"/>
          <w:szCs w:val="32"/>
        </w:rPr>
        <w:t>年</w:t>
      </w:r>
      <w:r>
        <w:rPr>
          <w:rFonts w:hint="eastAsia" w:ascii="宋体" w:hAnsi="宋体" w:eastAsia="宋体" w:cs="Times New Roman"/>
          <w:b/>
          <w:bCs/>
          <w:kern w:val="0"/>
          <w:sz w:val="32"/>
          <w:szCs w:val="32"/>
          <w:lang w:val="en-US" w:eastAsia="zh-CN"/>
        </w:rPr>
        <w:t>十一</w:t>
      </w:r>
      <w:r>
        <w:rPr>
          <w:rFonts w:hint="eastAsia" w:ascii="宋体" w:hAnsi="宋体" w:eastAsia="宋体" w:cs="Times New Roman"/>
          <w:b/>
          <w:bCs/>
          <w:kern w:val="0"/>
          <w:sz w:val="32"/>
          <w:szCs w:val="32"/>
        </w:rPr>
        <w:t>月</w:t>
      </w:r>
    </w:p>
    <w:p w14:paraId="3EF6AB5D">
      <w:pPr>
        <w:spacing w:line="360" w:lineRule="auto"/>
        <w:jc w:val="center"/>
        <w:rPr>
          <w:rFonts w:ascii="宋体" w:hAnsi="宋体" w:eastAsia="宋体" w:cs="Times New Roman"/>
          <w:b/>
          <w:bCs/>
          <w:kern w:val="0"/>
          <w:sz w:val="44"/>
          <w:szCs w:val="44"/>
          <w:shd w:val="clear" w:color="auto" w:fill="FFFFFF"/>
        </w:rPr>
        <w:sectPr>
          <w:pgSz w:w="11906" w:h="16838"/>
          <w:pgMar w:top="1361" w:right="1361" w:bottom="1361" w:left="1361" w:header="851" w:footer="992" w:gutter="0"/>
          <w:cols w:space="720" w:num="1"/>
          <w:docGrid w:type="lines" w:linePitch="312" w:charSpace="0"/>
        </w:sectPr>
      </w:pPr>
    </w:p>
    <w:p w14:paraId="028E1073">
      <w:pPr>
        <w:spacing w:line="360" w:lineRule="auto"/>
        <w:jc w:val="center"/>
        <w:rPr>
          <w:rFonts w:ascii="宋体" w:hAnsi="宋体" w:eastAsia="宋体" w:cs="Times New Roman"/>
          <w:kern w:val="0"/>
          <w:sz w:val="18"/>
          <w:szCs w:val="18"/>
          <w:shd w:val="clear" w:color="auto" w:fill="FFFFFF"/>
        </w:rPr>
      </w:pPr>
      <w:r>
        <w:rPr>
          <w:rFonts w:hint="eastAsia" w:ascii="宋体" w:hAnsi="宋体" w:eastAsia="宋体" w:cs="Times New Roman"/>
          <w:b/>
          <w:bCs/>
          <w:kern w:val="0"/>
          <w:sz w:val="44"/>
          <w:szCs w:val="44"/>
          <w:shd w:val="clear" w:color="auto" w:fill="FFFFFF"/>
        </w:rPr>
        <w:t>目  录</w:t>
      </w:r>
    </w:p>
    <w:p w14:paraId="0616DAB0">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第一章 竞争性磋商公告…………………………………………3</w:t>
      </w:r>
    </w:p>
    <w:p w14:paraId="58CD4D9F">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第二章 磋商响应供应商须知及前附表…………………………</w:t>
      </w:r>
      <w:r>
        <w:rPr>
          <w:rFonts w:ascii="宋体" w:hAnsi="宋体" w:eastAsia="宋体" w:cs="Times New Roman"/>
          <w:b/>
          <w:bCs/>
          <w:sz w:val="32"/>
          <w:szCs w:val="32"/>
        </w:rPr>
        <w:t>7</w:t>
      </w:r>
    </w:p>
    <w:p w14:paraId="6CCEF9DE">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第三章 采购内容及要求………………………………………</w:t>
      </w:r>
      <w:r>
        <w:rPr>
          <w:rFonts w:ascii="宋体" w:hAnsi="宋体" w:eastAsia="宋体" w:cs="Times New Roman"/>
          <w:b/>
          <w:bCs/>
          <w:sz w:val="32"/>
          <w:szCs w:val="32"/>
        </w:rPr>
        <w:t>2</w:t>
      </w:r>
      <w:r>
        <w:rPr>
          <w:rFonts w:hint="eastAsia" w:ascii="宋体" w:hAnsi="宋体" w:eastAsia="宋体" w:cs="Times New Roman"/>
          <w:b/>
          <w:bCs/>
          <w:sz w:val="32"/>
          <w:szCs w:val="32"/>
        </w:rPr>
        <w:t>4</w:t>
      </w:r>
    </w:p>
    <w:p w14:paraId="6BB294B7">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第四章 评审办法………………………………………………26</w:t>
      </w:r>
    </w:p>
    <w:p w14:paraId="13169945">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第五章 合同主要条款及格式…………………………………31</w:t>
      </w:r>
    </w:p>
    <w:p w14:paraId="2365E983">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 xml:space="preserve">第六章 </w:t>
      </w:r>
      <w:r>
        <w:rPr>
          <w:rFonts w:hint="eastAsia" w:ascii="宋体" w:hAnsi="宋体" w:eastAsia="宋体" w:cs="Times New Roman"/>
          <w:b/>
          <w:bCs/>
          <w:kern w:val="0"/>
          <w:sz w:val="32"/>
          <w:szCs w:val="32"/>
        </w:rPr>
        <w:t>电子化</w:t>
      </w:r>
      <w:r>
        <w:rPr>
          <w:rFonts w:hint="eastAsia" w:ascii="宋体" w:hAnsi="宋体" w:eastAsia="宋体" w:cs="Times New Roman"/>
          <w:b/>
          <w:bCs/>
          <w:sz w:val="32"/>
          <w:szCs w:val="32"/>
        </w:rPr>
        <w:t>响应文件内容及格式…………………………36</w:t>
      </w:r>
    </w:p>
    <w:p w14:paraId="06B44AF1">
      <w:pPr>
        <w:widowControl/>
        <w:spacing w:before="100" w:beforeAutospacing="1" w:after="100" w:afterAutospacing="1" w:line="360" w:lineRule="auto"/>
        <w:rPr>
          <w:rFonts w:ascii="宋体" w:hAnsi="宋体" w:eastAsia="宋体" w:cs="Times New Roman"/>
          <w:b/>
          <w:bCs/>
          <w:kern w:val="0"/>
          <w:sz w:val="32"/>
          <w:szCs w:val="32"/>
          <w:shd w:val="clear" w:color="auto" w:fill="FFFFFF"/>
        </w:rPr>
      </w:pPr>
    </w:p>
    <w:p w14:paraId="39428020">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7F3D5CB">
      <w:pPr>
        <w:widowControl/>
        <w:shd w:val="clear" w:color="auto" w:fill="FFFFFF"/>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第一章 竞争性磋商公告</w:t>
      </w:r>
    </w:p>
    <w:p w14:paraId="3D0B7A10">
      <w:pPr>
        <w:spacing w:line="240" w:lineRule="exact"/>
        <w:ind w:firstLine="420"/>
        <w:rPr>
          <w:rFonts w:ascii="宋体" w:hAnsi="宋体" w:eastAsia="宋体" w:cs="宋体"/>
          <w:b/>
          <w:kern w:val="1"/>
          <w:sz w:val="24"/>
          <w:szCs w:val="21"/>
        </w:rPr>
      </w:pPr>
    </w:p>
    <w:p w14:paraId="758E24A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项目概况</w:t>
      </w:r>
    </w:p>
    <w:p w14:paraId="723DA85C">
      <w:pPr>
        <w:spacing w:line="360" w:lineRule="auto"/>
        <w:ind w:firstLine="566" w:firstLineChars="236"/>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三门峡市陕州区主城区照明设施设备更新改造项目（陕州大道段）</w:t>
      </w:r>
      <w:r>
        <w:rPr>
          <w:rFonts w:hint="eastAsia" w:ascii="宋体" w:hAnsi="宋体" w:eastAsia="宋体" w:cs="Times New Roman"/>
          <w:sz w:val="24"/>
          <w:szCs w:val="24"/>
        </w:rPr>
        <w:t>的潜在供应商应在三门峡市公共资源交易中心网上获取竞争性磋商文件</w:t>
      </w:r>
      <w:r>
        <w:rPr>
          <w:rFonts w:hint="eastAsia" w:ascii="宋体" w:hAnsi="宋体" w:eastAsia="宋体" w:cs="Times New Roman"/>
          <w:sz w:val="24"/>
          <w:szCs w:val="24"/>
          <w:highlight w:val="none"/>
        </w:rPr>
        <w:t>，并于</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0</w:t>
      </w:r>
      <w:bookmarkStart w:id="18" w:name="_GoBack"/>
      <w:bookmarkEnd w:id="18"/>
      <w:r>
        <w:rPr>
          <w:rFonts w:hint="eastAsia" w:ascii="宋体" w:hAnsi="宋体" w:eastAsia="宋体" w:cs="Times New Roman"/>
          <w:sz w:val="24"/>
          <w:szCs w:val="24"/>
          <w:highlight w:val="none"/>
          <w:lang w:eastAsia="zh-CN"/>
        </w:rPr>
        <w:t>8时30分</w:t>
      </w:r>
      <w:r>
        <w:rPr>
          <w:rFonts w:hint="eastAsia" w:ascii="宋体" w:hAnsi="宋体" w:eastAsia="宋体" w:cs="Times New Roman"/>
          <w:sz w:val="24"/>
          <w:szCs w:val="24"/>
        </w:rPr>
        <w:t>（北京时间）前递交响应文件。</w:t>
      </w:r>
    </w:p>
    <w:p w14:paraId="5D1F590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、项目基本情况</w:t>
      </w:r>
    </w:p>
    <w:p w14:paraId="73076392">
      <w:pPr>
        <w:spacing w:line="360" w:lineRule="auto"/>
        <w:ind w:firstLine="484" w:firstLineChars="202"/>
        <w:rPr>
          <w:rFonts w:hint="eastAsia" w:ascii="宋体" w:hAnsi="宋体" w:eastAsia="宋体" w:cs="Times New Roman"/>
          <w:sz w:val="24"/>
          <w:szCs w:val="24"/>
          <w:highlight w:val="none"/>
          <w:lang w:eastAsia="zh-CN"/>
        </w:rPr>
      </w:pPr>
      <w:r>
        <w:rPr>
          <w:rFonts w:hint="eastAsia" w:ascii="宋体" w:hAnsi="宋体" w:eastAsia="宋体" w:cs="Times New Roman"/>
          <w:sz w:val="24"/>
          <w:szCs w:val="28"/>
          <w:highlight w:val="none"/>
        </w:rPr>
        <w:t>1.采购项目</w:t>
      </w:r>
      <w:r>
        <w:rPr>
          <w:rFonts w:hint="eastAsia" w:ascii="宋体" w:hAnsi="宋体" w:eastAsia="宋体" w:cs="Times New Roman"/>
          <w:sz w:val="24"/>
          <w:szCs w:val="24"/>
          <w:highlight w:val="none"/>
        </w:rPr>
        <w:t>编号</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陕州竞磋采购-2025-139；SZGZ[2025]242-ZC168</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 xml:space="preserve"> </w:t>
      </w:r>
    </w:p>
    <w:p w14:paraId="1D53CE51">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采购</w:t>
      </w:r>
      <w:r>
        <w:rPr>
          <w:rFonts w:ascii="宋体" w:hAnsi="宋体" w:eastAsia="宋体" w:cs="Times New Roman"/>
          <w:sz w:val="24"/>
          <w:szCs w:val="24"/>
        </w:rPr>
        <w:t>项目名称：</w:t>
      </w:r>
      <w:r>
        <w:rPr>
          <w:rFonts w:hint="eastAsia" w:ascii="宋体" w:hAnsi="宋体" w:eastAsia="宋体" w:cs="Times New Roman"/>
          <w:kern w:val="0"/>
          <w:sz w:val="24"/>
          <w:shd w:val="clear" w:color="auto" w:fill="FFFFFF"/>
          <w:lang w:val="en-US" w:eastAsia="zh-CN"/>
        </w:rPr>
        <w:t>三门峡市陕州区主城区照明设施设备更新改造项目（陕州大道段）</w:t>
      </w:r>
    </w:p>
    <w:p w14:paraId="4C6A09D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3.采购方式：竞争性磋商</w:t>
      </w:r>
    </w:p>
    <w:p w14:paraId="2371684C">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预算金额：</w:t>
      </w:r>
      <w:r>
        <w:rPr>
          <w:rFonts w:hint="eastAsia" w:ascii="宋体" w:hAnsi="宋体" w:eastAsia="宋体" w:cs="Times New Roman"/>
          <w:sz w:val="24"/>
          <w:szCs w:val="24"/>
          <w:lang w:val="en-US" w:eastAsia="zh-CN"/>
        </w:rPr>
        <w:t>1350000</w:t>
      </w:r>
      <w:r>
        <w:rPr>
          <w:rFonts w:hint="eastAsia" w:ascii="宋体" w:hAnsi="宋体" w:eastAsia="宋体" w:cs="Times New Roman"/>
          <w:sz w:val="24"/>
          <w:szCs w:val="24"/>
        </w:rPr>
        <w:t>元</w:t>
      </w:r>
    </w:p>
    <w:p w14:paraId="6D17779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最高限价：</w:t>
      </w:r>
      <w:r>
        <w:rPr>
          <w:rFonts w:hint="eastAsia" w:ascii="宋体" w:hAnsi="宋体" w:eastAsia="宋体" w:cs="Times New Roman"/>
          <w:sz w:val="24"/>
          <w:szCs w:val="24"/>
          <w:lang w:val="en-US" w:eastAsia="zh-CN"/>
        </w:rPr>
        <w:t>1350000</w:t>
      </w:r>
      <w:r>
        <w:rPr>
          <w:rFonts w:hint="eastAsia" w:ascii="宋体" w:hAnsi="宋体" w:eastAsia="宋体" w:cs="Times New Roman"/>
          <w:sz w:val="24"/>
          <w:szCs w:val="24"/>
        </w:rPr>
        <w:t>元</w:t>
      </w:r>
    </w:p>
    <w:tbl>
      <w:tblPr>
        <w:tblStyle w:val="20"/>
        <w:tblW w:w="7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96"/>
        <w:gridCol w:w="2600"/>
        <w:gridCol w:w="1263"/>
        <w:gridCol w:w="1525"/>
      </w:tblGrid>
      <w:tr w14:paraId="333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ign w:val="center"/>
          </w:tcPr>
          <w:p w14:paraId="7637FA91">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496" w:type="dxa"/>
            <w:noWrap/>
            <w:vAlign w:val="center"/>
          </w:tcPr>
          <w:p w14:paraId="25039336">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2600" w:type="dxa"/>
            <w:noWrap/>
            <w:vAlign w:val="center"/>
          </w:tcPr>
          <w:p w14:paraId="3751990B">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263" w:type="dxa"/>
            <w:noWrap/>
            <w:vAlign w:val="center"/>
          </w:tcPr>
          <w:p w14:paraId="591486EE">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24365F38">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525" w:type="dxa"/>
            <w:noWrap/>
            <w:vAlign w:val="center"/>
          </w:tcPr>
          <w:p w14:paraId="0856FA2C">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7A485BC0">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r>
      <w:tr w14:paraId="7E9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ign w:val="center"/>
          </w:tcPr>
          <w:p w14:paraId="101E534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96" w:type="dxa"/>
            <w:noWrap/>
            <w:vAlign w:val="center"/>
          </w:tcPr>
          <w:p w14:paraId="0A8CB5B3">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Times New Roman"/>
                <w:sz w:val="24"/>
                <w:szCs w:val="24"/>
                <w:highlight w:val="none"/>
              </w:rPr>
              <w:t>SZGZ[2025]242-ZC168</w:t>
            </w:r>
            <w:r>
              <w:rPr>
                <w:rFonts w:hint="eastAsia" w:ascii="宋体" w:hAnsi="宋体" w:eastAsia="宋体" w:cs="Times New Roman"/>
                <w:sz w:val="24"/>
                <w:szCs w:val="24"/>
                <w:highlight w:val="none"/>
                <w:lang w:val="en-US" w:eastAsia="zh-CN"/>
              </w:rPr>
              <w:t>-1</w:t>
            </w:r>
          </w:p>
        </w:tc>
        <w:tc>
          <w:tcPr>
            <w:tcW w:w="2600" w:type="dxa"/>
            <w:noWrap/>
            <w:vAlign w:val="center"/>
          </w:tcPr>
          <w:p w14:paraId="34DE1683">
            <w:pPr>
              <w:spacing w:line="360" w:lineRule="auto"/>
              <w:jc w:val="center"/>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三门峡市陕州区主城区照明设施设备更新改造项目（陕州大道段）</w:t>
            </w:r>
          </w:p>
        </w:tc>
        <w:tc>
          <w:tcPr>
            <w:tcW w:w="1263" w:type="dxa"/>
            <w:noWrap/>
            <w:vAlign w:val="center"/>
          </w:tcPr>
          <w:p w14:paraId="216A5CF4">
            <w:pPr>
              <w:widowControl/>
              <w:spacing w:line="360" w:lineRule="auto"/>
              <w:jc w:val="center"/>
              <w:rPr>
                <w:rFonts w:hint="default" w:ascii="宋体" w:hAnsi="宋体" w:eastAsia="宋体" w:cs="宋体"/>
                <w:kern w:val="0"/>
                <w:sz w:val="24"/>
                <w:szCs w:val="24"/>
                <w:lang w:val="en-US"/>
              </w:rPr>
            </w:pPr>
            <w:r>
              <w:rPr>
                <w:rFonts w:hint="eastAsia" w:ascii="宋体" w:hAnsi="宋体" w:eastAsia="宋体" w:cs="Times New Roman"/>
                <w:sz w:val="24"/>
                <w:szCs w:val="24"/>
                <w:lang w:val="en-US" w:eastAsia="zh-CN"/>
              </w:rPr>
              <w:t>1350000</w:t>
            </w:r>
          </w:p>
        </w:tc>
        <w:tc>
          <w:tcPr>
            <w:tcW w:w="1525" w:type="dxa"/>
            <w:noWrap/>
            <w:vAlign w:val="center"/>
          </w:tcPr>
          <w:p w14:paraId="1B42EC87">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1350000</w:t>
            </w:r>
          </w:p>
        </w:tc>
      </w:tr>
    </w:tbl>
    <w:p w14:paraId="5EB93A96">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采购需求（包括但不限于标的的名称、数量、简要技术需求或服务要求等）</w:t>
      </w:r>
    </w:p>
    <w:p w14:paraId="55A44B76">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采购范</w:t>
      </w:r>
      <w:r>
        <w:rPr>
          <w:rFonts w:hint="eastAsia" w:ascii="宋体" w:hAnsi="宋体" w:eastAsia="宋体" w:cs="Times New Roman"/>
          <w:sz w:val="24"/>
          <w:szCs w:val="28"/>
        </w:rPr>
        <w:t>围：本项目为三门峡市陕州区主城区照明设施设备更新改造项目（陕州大道段），主要内容是LED灯具采购、单灯控制器采购、灯联网平台建设等及安装、培训、验收、质保期服务、与货物有关的运输和保险及其他伴随服务，具体采购内容及参数要求详见竞争性磋商文件</w:t>
      </w:r>
      <w:r>
        <w:rPr>
          <w:rFonts w:hint="eastAsia" w:ascii="宋体" w:hAnsi="宋体" w:eastAsia="宋体" w:cs="Times New Roman"/>
          <w:sz w:val="24"/>
          <w:szCs w:val="24"/>
        </w:rPr>
        <w:t>。</w:t>
      </w:r>
    </w:p>
    <w:p w14:paraId="3BE775EF">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5.2</w:t>
      </w:r>
      <w:r>
        <w:rPr>
          <w:rFonts w:hint="eastAsia" w:ascii="宋体" w:hAnsi="宋体" w:eastAsia="宋体" w:cs="Times New Roman"/>
          <w:sz w:val="24"/>
          <w:szCs w:val="28"/>
        </w:rPr>
        <w:t>资金来源：财政资金，已落实。</w:t>
      </w:r>
    </w:p>
    <w:p w14:paraId="336962CE">
      <w:pPr>
        <w:spacing w:line="360" w:lineRule="auto"/>
        <w:ind w:firstLine="484" w:firstLineChars="202"/>
        <w:rPr>
          <w:rFonts w:ascii="宋体" w:hAnsi="宋体" w:eastAsia="宋体" w:cs="Times New Roman"/>
          <w:color w:val="auto"/>
          <w:sz w:val="24"/>
          <w:szCs w:val="28"/>
          <w:highlight w:val="none"/>
        </w:rPr>
      </w:pPr>
      <w:r>
        <w:rPr>
          <w:rFonts w:ascii="宋体" w:hAnsi="宋体" w:eastAsia="宋体" w:cs="Times New Roman"/>
          <w:color w:val="auto"/>
          <w:sz w:val="24"/>
          <w:szCs w:val="28"/>
          <w:highlight w:val="none"/>
        </w:rPr>
        <w:t>5.3</w:t>
      </w:r>
      <w:r>
        <w:rPr>
          <w:rFonts w:hint="eastAsia" w:ascii="宋体" w:hAnsi="宋体" w:eastAsia="宋体" w:cs="Times New Roman"/>
          <w:color w:val="auto"/>
          <w:sz w:val="24"/>
          <w:szCs w:val="28"/>
          <w:highlight w:val="none"/>
        </w:rPr>
        <w:t>质 保 期：</w:t>
      </w:r>
      <w:r>
        <w:rPr>
          <w:rFonts w:hint="eastAsia" w:ascii="宋体" w:hAnsi="宋体" w:eastAsia="宋体" w:cs="Times New Roman"/>
          <w:color w:val="auto"/>
          <w:sz w:val="24"/>
          <w:szCs w:val="28"/>
          <w:highlight w:val="none"/>
          <w:lang w:val="en-US" w:eastAsia="zh-CN"/>
        </w:rPr>
        <w:t>灯具、单灯控制器质保期3</w:t>
      </w:r>
      <w:r>
        <w:rPr>
          <w:rFonts w:hint="eastAsia" w:ascii="宋体" w:hAnsi="宋体" w:eastAsia="宋体" w:cs="Times New Roman"/>
          <w:color w:val="auto"/>
          <w:sz w:val="24"/>
          <w:szCs w:val="28"/>
          <w:highlight w:val="none"/>
        </w:rPr>
        <w:t>年。</w:t>
      </w:r>
    </w:p>
    <w:p w14:paraId="0BF73768">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5.4</w:t>
      </w:r>
      <w:r>
        <w:rPr>
          <w:rFonts w:hint="eastAsia" w:ascii="宋体" w:hAnsi="宋体" w:eastAsia="宋体" w:cs="Times New Roman"/>
          <w:sz w:val="24"/>
          <w:szCs w:val="28"/>
        </w:rPr>
        <w:t>质量要求：符合国家及行业相关规范和标准。</w:t>
      </w:r>
    </w:p>
    <w:p w14:paraId="63AF0ACB">
      <w:pPr>
        <w:spacing w:line="360" w:lineRule="auto"/>
        <w:ind w:firstLine="484" w:firstLineChars="202"/>
        <w:rPr>
          <w:rFonts w:ascii="宋体" w:hAnsi="宋体" w:eastAsia="宋体" w:cs="Times New Roman"/>
          <w:sz w:val="24"/>
          <w:szCs w:val="28"/>
        </w:rPr>
      </w:pPr>
      <w:r>
        <w:rPr>
          <w:rFonts w:hint="eastAsia" w:ascii="宋体" w:hAnsi="宋体" w:eastAsia="宋体" w:cs="Times New Roman"/>
          <w:sz w:val="24"/>
          <w:szCs w:val="28"/>
        </w:rPr>
        <w:t>5.</w:t>
      </w:r>
      <w:r>
        <w:rPr>
          <w:rFonts w:ascii="宋体" w:hAnsi="宋体" w:eastAsia="宋体" w:cs="Times New Roman"/>
          <w:sz w:val="24"/>
          <w:szCs w:val="28"/>
        </w:rPr>
        <w:t>5</w:t>
      </w:r>
      <w:r>
        <w:rPr>
          <w:rFonts w:hint="eastAsia" w:ascii="宋体" w:hAnsi="宋体" w:eastAsia="宋体" w:cs="Times New Roman"/>
          <w:sz w:val="24"/>
          <w:szCs w:val="28"/>
        </w:rPr>
        <w:t>交 货 期：</w:t>
      </w:r>
      <w:r>
        <w:rPr>
          <w:rFonts w:hint="eastAsia" w:ascii="宋体" w:hAnsi="宋体" w:eastAsia="宋体" w:cs="Times New Roman"/>
          <w:sz w:val="24"/>
          <w:szCs w:val="28"/>
          <w:lang w:eastAsia="zh-CN"/>
        </w:rPr>
        <w:t>签订合同后30日历天内</w:t>
      </w:r>
      <w:r>
        <w:rPr>
          <w:rFonts w:hint="eastAsia" w:ascii="宋体" w:hAnsi="宋体" w:eastAsia="宋体" w:cs="Times New Roman"/>
          <w:sz w:val="24"/>
          <w:szCs w:val="28"/>
        </w:rPr>
        <w:t>。</w:t>
      </w:r>
    </w:p>
    <w:p w14:paraId="713D8156">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5.6</w:t>
      </w:r>
      <w:r>
        <w:rPr>
          <w:rFonts w:hint="eastAsia" w:ascii="宋体" w:hAnsi="宋体" w:eastAsia="宋体" w:cs="Times New Roman"/>
          <w:sz w:val="24"/>
          <w:szCs w:val="28"/>
          <w:lang w:val="en-US" w:eastAsia="zh-CN"/>
        </w:rPr>
        <w:t>服务期限</w:t>
      </w:r>
      <w:r>
        <w:rPr>
          <w:rFonts w:hint="eastAsia" w:ascii="宋体" w:hAnsi="宋体" w:eastAsia="宋体" w:cs="Times New Roman"/>
          <w:sz w:val="24"/>
          <w:szCs w:val="28"/>
        </w:rPr>
        <w:t>：</w:t>
      </w:r>
      <w:r>
        <w:rPr>
          <w:rFonts w:hint="eastAsia" w:ascii="宋体" w:hAnsi="宋体" w:eastAsia="宋体" w:cs="Times New Roman"/>
          <w:sz w:val="24"/>
          <w:szCs w:val="28"/>
          <w:lang w:val="en-US" w:eastAsia="zh-CN"/>
        </w:rPr>
        <w:t>平台使用权限3年</w:t>
      </w:r>
      <w:r>
        <w:rPr>
          <w:rFonts w:hint="eastAsia" w:ascii="宋体" w:hAnsi="宋体" w:eastAsia="宋体" w:cs="Times New Roman"/>
          <w:sz w:val="24"/>
          <w:szCs w:val="28"/>
        </w:rPr>
        <w:t>。</w:t>
      </w:r>
    </w:p>
    <w:p w14:paraId="4C0BD113">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5.7</w:t>
      </w:r>
      <w:r>
        <w:rPr>
          <w:rFonts w:hint="eastAsia" w:ascii="宋体" w:hAnsi="宋体" w:eastAsia="宋体" w:cs="Times New Roman"/>
          <w:sz w:val="24"/>
          <w:szCs w:val="28"/>
        </w:rPr>
        <w:t>交货地点：采购人指定地点。</w:t>
      </w:r>
    </w:p>
    <w:p w14:paraId="67E3AB1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合同履行期限：</w:t>
      </w:r>
      <w:r>
        <w:rPr>
          <w:rFonts w:hint="eastAsia" w:ascii="宋体" w:hAnsi="宋体" w:eastAsia="宋体" w:cs="Times New Roman"/>
          <w:sz w:val="24"/>
          <w:szCs w:val="24"/>
        </w:rPr>
        <w:t>按合同约定执行。</w:t>
      </w:r>
    </w:p>
    <w:p w14:paraId="03E60B1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本项目是否接受联合体投标：否</w:t>
      </w:r>
    </w:p>
    <w:p w14:paraId="4FD1268F">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是否接受进口产品：</w:t>
      </w:r>
      <w:r>
        <w:rPr>
          <w:rFonts w:hint="eastAsia" w:ascii="宋体" w:hAnsi="宋体" w:eastAsia="宋体" w:cs="Times New Roman"/>
          <w:sz w:val="24"/>
          <w:szCs w:val="24"/>
        </w:rPr>
        <w:t>否</w:t>
      </w:r>
    </w:p>
    <w:p w14:paraId="4073AFDF">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9.是否专门面向中小企业：</w:t>
      </w:r>
      <w:r>
        <w:rPr>
          <w:rFonts w:hint="eastAsia" w:ascii="宋体" w:hAnsi="宋体" w:eastAsia="宋体" w:cs="Times New Roman"/>
          <w:sz w:val="24"/>
          <w:szCs w:val="24"/>
        </w:rPr>
        <w:t>否</w:t>
      </w:r>
    </w:p>
    <w:p w14:paraId="4B2482E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二、申请人资格要求</w:t>
      </w:r>
    </w:p>
    <w:p w14:paraId="31F1B93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6954C76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本项目执行促进中小企业（监狱企业、残疾人福利性企业）发展等政府采购政策。</w:t>
      </w:r>
    </w:p>
    <w:p w14:paraId="28449D2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319BD5E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p>
    <w:p w14:paraId="2A2A718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lang w:eastAsia="zh-CN"/>
        </w:rPr>
        <w:t>；</w:t>
      </w:r>
    </w:p>
    <w:p w14:paraId="081CA60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38DAAE4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3.4本项目不接受联合体投标；</w:t>
      </w:r>
    </w:p>
    <w:p w14:paraId="2C72073B">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3.5本次磋商实行资格后审；</w:t>
      </w:r>
    </w:p>
    <w:p w14:paraId="64F1E717">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14:paraId="048E029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三、获取采购文件</w:t>
      </w:r>
    </w:p>
    <w:p w14:paraId="4DA76C24">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1.时间：</w:t>
      </w: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28</w:t>
      </w:r>
      <w:r>
        <w:rPr>
          <w:rFonts w:hint="eastAsia" w:ascii="宋体" w:hAnsi="宋体" w:eastAsia="宋体" w:cs="Times New Roman"/>
          <w:sz w:val="24"/>
          <w:szCs w:val="24"/>
          <w:highlight w:val="none"/>
        </w:rPr>
        <w:t>日至202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07</w:t>
      </w:r>
      <w:r>
        <w:rPr>
          <w:rFonts w:hint="eastAsia" w:ascii="宋体" w:hAnsi="宋体" w:eastAsia="宋体" w:cs="Times New Roman"/>
          <w:sz w:val="24"/>
          <w:szCs w:val="24"/>
          <w:highlight w:val="none"/>
        </w:rPr>
        <w:t>日，每天上午00:00至12:00，下午12:00至23:59（北京时间，法定节假日除外。）</w:t>
      </w:r>
    </w:p>
    <w:p w14:paraId="7890B3E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2.地点：三门峡市公共资源交易中心网</w:t>
      </w:r>
      <w:r>
        <w:rPr>
          <w:rFonts w:hint="eastAsia" w:ascii="宋体" w:hAnsi="宋体" w:eastAsia="宋体" w:cs="Times New Roman"/>
          <w:sz w:val="24"/>
          <w:szCs w:val="24"/>
        </w:rPr>
        <w:t>上</w:t>
      </w:r>
    </w:p>
    <w:p w14:paraId="627BCF3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62076388">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4. 售价：0元</w:t>
      </w:r>
    </w:p>
    <w:p w14:paraId="7712B72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、响应文件提交</w:t>
      </w:r>
    </w:p>
    <w:p w14:paraId="5F2D02A9">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截止</w:t>
      </w:r>
      <w:r>
        <w:rPr>
          <w:rFonts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lang w:eastAsia="zh-CN"/>
        </w:rPr>
        <w:t>8时30分</w:t>
      </w:r>
      <w:r>
        <w:rPr>
          <w:rFonts w:ascii="宋体" w:hAnsi="宋体" w:eastAsia="宋体" w:cs="Times New Roman"/>
          <w:sz w:val="24"/>
          <w:szCs w:val="24"/>
          <w:highlight w:val="none"/>
        </w:rPr>
        <w:t>（北京时间）</w:t>
      </w:r>
    </w:p>
    <w:p w14:paraId="2A6783D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2.地</w:t>
      </w:r>
      <w:r>
        <w:rPr>
          <w:rFonts w:hint="eastAsia" w:ascii="宋体" w:hAnsi="宋体" w:eastAsia="宋体" w:cs="Times New Roman"/>
          <w:sz w:val="24"/>
          <w:szCs w:val="24"/>
          <w:lang w:val="en-US" w:eastAsia="zh-CN"/>
        </w:rPr>
        <w:t>点：在三门峡市公共资源交易中心网中上传加密响应文件。</w:t>
      </w:r>
    </w:p>
    <w:p w14:paraId="0DC58D1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五、响应文件开启</w:t>
      </w:r>
    </w:p>
    <w:p w14:paraId="65F1AD6D">
      <w:pPr>
        <w:spacing w:line="360" w:lineRule="auto"/>
        <w:ind w:firstLine="484" w:firstLineChars="202"/>
        <w:rPr>
          <w:rFonts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lang w:eastAsia="zh-CN"/>
        </w:rPr>
        <w:t>8时30分</w:t>
      </w:r>
      <w:r>
        <w:rPr>
          <w:rFonts w:ascii="宋体" w:hAnsi="宋体" w:eastAsia="宋体" w:cs="Times New Roman"/>
          <w:sz w:val="24"/>
          <w:szCs w:val="24"/>
          <w:highlight w:val="none"/>
        </w:rPr>
        <w:t>（北京时间）</w:t>
      </w:r>
    </w:p>
    <w:p w14:paraId="1DBAA64A">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地点：</w:t>
      </w:r>
      <w:r>
        <w:rPr>
          <w:rFonts w:hint="eastAsia" w:ascii="宋体" w:hAnsi="宋体" w:eastAsia="宋体" w:cs="Times New Roman"/>
          <w:sz w:val="24"/>
          <w:szCs w:val="24"/>
        </w:rPr>
        <w:t>三门峡市陕州区公共资源交易中心开标区</w:t>
      </w:r>
    </w:p>
    <w:p w14:paraId="5BE8F40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六、发布公告的媒介</w:t>
      </w:r>
      <w:r>
        <w:rPr>
          <w:rFonts w:hint="eastAsia" w:ascii="宋体" w:hAnsi="宋体" w:eastAsia="宋体" w:cs="Times New Roman"/>
          <w:sz w:val="24"/>
          <w:szCs w:val="24"/>
        </w:rPr>
        <w:t>及</w:t>
      </w:r>
      <w:r>
        <w:rPr>
          <w:rFonts w:ascii="宋体" w:hAnsi="宋体" w:eastAsia="宋体" w:cs="Times New Roman"/>
          <w:sz w:val="24"/>
          <w:szCs w:val="24"/>
        </w:rPr>
        <w:t>公告期限</w:t>
      </w:r>
    </w:p>
    <w:p w14:paraId="30E17B1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本次公告在《河南省政府采购网》、《中国采购与招标网》、《三门峡市公共资源交易中心网》上发布。</w:t>
      </w:r>
    </w:p>
    <w:p w14:paraId="3B0F025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七、其他补充事宜</w:t>
      </w:r>
    </w:p>
    <w:p w14:paraId="7514EEB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本项目实行资格后审，根据优化营商环境的要求，评标时审查内容以投标文件为准：</w:t>
      </w:r>
    </w:p>
    <w:p w14:paraId="3F018D63">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1、资格评（预）审部分：资格评（预）审以投标文件为准，其上传资料真实性由投标人自行承担。</w:t>
      </w:r>
    </w:p>
    <w:p w14:paraId="726BB98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2、评标打分部分：评标打分部分仍按照100分制原则进行，涉及到资格审查、企业荣誉、人员业绩、企业业绩等计分部分时，以投标单位自行上传到投标文件中的相应内容为准。</w:t>
      </w:r>
    </w:p>
    <w:p w14:paraId="1F8A71E8">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7DEBF4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4、我单位（采购人）严格按三财购【2021】9号文要求的时限发布中标结果公告，发出中标通知书，签订采购合同，上传采购合同。</w:t>
      </w:r>
    </w:p>
    <w:p w14:paraId="1B6F0F69">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5、监督单位：三门峡市陕州区财政局政府采购监督管理科</w:t>
      </w:r>
    </w:p>
    <w:p w14:paraId="0F665D13">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联系电话：0398-3839210</w:t>
      </w:r>
    </w:p>
    <w:p w14:paraId="212E400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八、凡对本次招标提出询问，请按照以下方式联系</w:t>
      </w:r>
    </w:p>
    <w:p w14:paraId="42DD6565">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.采购人：三门峡市陕州区城市管理局</w:t>
      </w:r>
    </w:p>
    <w:p w14:paraId="5C5D5EC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    址：三门峡市陕州区</w:t>
      </w:r>
      <w:r>
        <w:rPr>
          <w:rFonts w:hint="eastAsia" w:ascii="宋体" w:hAnsi="宋体" w:eastAsia="宋体" w:cs="Times New Roman"/>
          <w:sz w:val="24"/>
          <w:szCs w:val="24"/>
          <w:lang w:val="en-US" w:eastAsia="zh-CN"/>
        </w:rPr>
        <w:t>陕州大道中段</w:t>
      </w:r>
    </w:p>
    <w:p w14:paraId="5CE9691F">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王女士</w:t>
      </w:r>
    </w:p>
    <w:p w14:paraId="1C1C223C">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0398-3835689</w:t>
      </w:r>
    </w:p>
    <w:p w14:paraId="60DAD2E2">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.采购</w:t>
      </w:r>
      <w:r>
        <w:rPr>
          <w:rFonts w:ascii="宋体" w:hAnsi="宋体" w:eastAsia="宋体" w:cs="Times New Roman"/>
          <w:sz w:val="24"/>
          <w:szCs w:val="24"/>
        </w:rPr>
        <w:t>代理机构：</w:t>
      </w:r>
      <w:r>
        <w:rPr>
          <w:rFonts w:hint="eastAsia" w:ascii="宋体" w:hAnsi="宋体" w:eastAsia="宋体" w:cs="Times New Roman"/>
          <w:sz w:val="24"/>
          <w:szCs w:val="24"/>
          <w:lang w:eastAsia="zh-CN"/>
        </w:rPr>
        <w:t>正为技术有限公司</w:t>
      </w:r>
    </w:p>
    <w:p w14:paraId="3EFAB40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ascii="宋体" w:hAnsi="宋体" w:eastAsia="宋体" w:cs="Times New Roman"/>
          <w:sz w:val="24"/>
          <w:szCs w:val="24"/>
        </w:rPr>
        <w:t>：</w:t>
      </w:r>
      <w:r>
        <w:rPr>
          <w:rFonts w:hint="eastAsia" w:ascii="宋体" w:hAnsi="宋体" w:eastAsia="宋体" w:cs="Times New Roman"/>
          <w:sz w:val="24"/>
          <w:szCs w:val="24"/>
          <w:lang w:val="en-US" w:eastAsia="zh-CN"/>
        </w:rPr>
        <w:t>河南省郑州市金水区索凌路庙李商务大厦3单元10层1001室</w:t>
      </w:r>
    </w:p>
    <w:p w14:paraId="7949F97D">
      <w:pPr>
        <w:spacing w:line="360" w:lineRule="auto"/>
        <w:ind w:firstLine="566" w:firstLineChars="236"/>
        <w:jc w:val="left"/>
        <w:rPr>
          <w:rFonts w:hint="default" w:ascii="宋体" w:hAnsi="宋体" w:eastAsia="宋体" w:cs="Times New Roman"/>
          <w:sz w:val="24"/>
          <w:szCs w:val="24"/>
          <w:lang w:val="en-US"/>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莫先生</w:t>
      </w:r>
    </w:p>
    <w:p w14:paraId="64171AC5">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cs="宋体"/>
          <w:bCs/>
          <w:kern w:val="0"/>
          <w:sz w:val="24"/>
        </w:rPr>
        <w:t>1</w:t>
      </w:r>
      <w:r>
        <w:rPr>
          <w:rFonts w:hint="eastAsia" w:ascii="宋体" w:hAnsi="宋体" w:cs="宋体"/>
          <w:bCs/>
          <w:kern w:val="0"/>
          <w:sz w:val="24"/>
          <w:lang w:val="en-US" w:eastAsia="zh-CN"/>
        </w:rPr>
        <w:t>8838113119</w:t>
      </w:r>
    </w:p>
    <w:p w14:paraId="1BF11DC4">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.项目联系方式</w:t>
      </w:r>
    </w:p>
    <w:p w14:paraId="167007CA">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王女士</w:t>
      </w:r>
    </w:p>
    <w:p w14:paraId="3B4722F7">
      <w:pPr>
        <w:spacing w:line="360" w:lineRule="auto"/>
        <w:ind w:firstLine="600" w:firstLineChars="250"/>
        <w:rPr>
          <w:rFonts w:ascii="宋体" w:hAnsi="宋体" w:eastAsia="宋体" w:cs="Times New Roman"/>
          <w:b/>
          <w:bCs/>
          <w:kern w:val="0"/>
          <w:sz w:val="32"/>
          <w:szCs w:val="32"/>
          <w:shd w:val="clear" w:color="auto" w:fill="FFFFFF"/>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0398-3835689</w:t>
      </w:r>
    </w:p>
    <w:p w14:paraId="7C365A3D">
      <w:pPr>
        <w:autoSpaceDE w:val="0"/>
        <w:autoSpaceDN w:val="0"/>
        <w:adjustRightInd w:val="0"/>
        <w:spacing w:line="360" w:lineRule="auto"/>
        <w:ind w:firstLine="643" w:firstLineChars="200"/>
        <w:jc w:val="center"/>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第二章 磋商响应供应商须知及前附表</w:t>
      </w:r>
    </w:p>
    <w:p w14:paraId="586F747D">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b/>
          <w:bCs/>
          <w:kern w:val="0"/>
          <w:sz w:val="24"/>
          <w:szCs w:val="24"/>
        </w:rPr>
        <w:t>磋商响应供应商须知前附表</w:t>
      </w:r>
    </w:p>
    <w:tbl>
      <w:tblPr>
        <w:tblStyle w:val="20"/>
        <w:tblW w:w="9584" w:type="dxa"/>
        <w:jc w:val="center"/>
        <w:tblLayout w:type="fixed"/>
        <w:tblCellMar>
          <w:top w:w="0" w:type="dxa"/>
          <w:left w:w="108" w:type="dxa"/>
          <w:bottom w:w="0" w:type="dxa"/>
          <w:right w:w="108" w:type="dxa"/>
        </w:tblCellMar>
      </w:tblPr>
      <w:tblGrid>
        <w:gridCol w:w="1101"/>
        <w:gridCol w:w="1701"/>
        <w:gridCol w:w="6782"/>
      </w:tblGrid>
      <w:tr w14:paraId="5A964FB9">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94AB376">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1701" w:type="dxa"/>
            <w:tcBorders>
              <w:top w:val="single" w:color="auto" w:sz="4" w:space="0"/>
              <w:left w:val="nil"/>
              <w:bottom w:val="single" w:color="auto" w:sz="4" w:space="0"/>
              <w:right w:val="single" w:color="auto" w:sz="4" w:space="0"/>
            </w:tcBorders>
            <w:noWrap/>
            <w:vAlign w:val="center"/>
          </w:tcPr>
          <w:p w14:paraId="526F7349">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条款名称</w:t>
            </w:r>
          </w:p>
        </w:tc>
        <w:tc>
          <w:tcPr>
            <w:tcW w:w="6782" w:type="dxa"/>
            <w:tcBorders>
              <w:top w:val="single" w:color="auto" w:sz="4" w:space="0"/>
              <w:left w:val="nil"/>
              <w:bottom w:val="single" w:color="auto" w:sz="4" w:space="0"/>
              <w:right w:val="single" w:color="auto" w:sz="4" w:space="0"/>
            </w:tcBorders>
            <w:noWrap/>
            <w:vAlign w:val="center"/>
          </w:tcPr>
          <w:p w14:paraId="5BD97ECE">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编列内容</w:t>
            </w:r>
          </w:p>
        </w:tc>
      </w:tr>
      <w:tr w14:paraId="23E5E201">
        <w:tblPrEx>
          <w:tblCellMar>
            <w:top w:w="0" w:type="dxa"/>
            <w:left w:w="108" w:type="dxa"/>
            <w:bottom w:w="0" w:type="dxa"/>
            <w:right w:w="108" w:type="dxa"/>
          </w:tblCellMar>
        </w:tblPrEx>
        <w:trPr>
          <w:trHeight w:val="546"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0952BA5A">
            <w:pPr>
              <w:spacing w:line="460" w:lineRule="exact"/>
              <w:jc w:val="center"/>
              <w:rPr>
                <w:rFonts w:ascii="宋体" w:hAnsi="宋体" w:eastAsia="宋体" w:cs="Times New Roman"/>
                <w:sz w:val="24"/>
                <w:szCs w:val="24"/>
              </w:rPr>
            </w:pPr>
            <w:r>
              <w:rPr>
                <w:rFonts w:ascii="宋体" w:hAnsi="宋体" w:eastAsia="宋体" w:cs="Times New Roman"/>
                <w:sz w:val="24"/>
                <w:szCs w:val="24"/>
              </w:rPr>
              <w:t>1.1</w:t>
            </w:r>
          </w:p>
        </w:tc>
        <w:tc>
          <w:tcPr>
            <w:tcW w:w="1701" w:type="dxa"/>
            <w:vMerge w:val="restart"/>
            <w:tcBorders>
              <w:top w:val="nil"/>
              <w:left w:val="nil"/>
              <w:bottom w:val="single" w:color="auto" w:sz="4" w:space="0"/>
              <w:right w:val="single" w:color="auto" w:sz="4" w:space="0"/>
            </w:tcBorders>
            <w:noWrap/>
            <w:vAlign w:val="center"/>
          </w:tcPr>
          <w:p w14:paraId="1FF5290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w:t>
            </w:r>
          </w:p>
        </w:tc>
        <w:tc>
          <w:tcPr>
            <w:tcW w:w="6782" w:type="dxa"/>
            <w:tcBorders>
              <w:top w:val="single" w:color="auto" w:sz="4" w:space="0"/>
              <w:left w:val="nil"/>
              <w:bottom w:val="single" w:color="auto" w:sz="4" w:space="0"/>
              <w:right w:val="single" w:color="auto" w:sz="4" w:space="0"/>
            </w:tcBorders>
            <w:noWrap/>
            <w:vAlign w:val="center"/>
          </w:tcPr>
          <w:p w14:paraId="234D1BA0">
            <w:pPr>
              <w:spacing w:line="460" w:lineRule="exact"/>
              <w:rPr>
                <w:rFonts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Times New Roman"/>
                <w:sz w:val="24"/>
                <w:szCs w:val="24"/>
              </w:rPr>
              <w:t>三门峡市陕州区城市管理局</w:t>
            </w:r>
          </w:p>
        </w:tc>
      </w:tr>
      <w:tr w14:paraId="1A068465">
        <w:tblPrEx>
          <w:tblCellMar>
            <w:top w:w="0" w:type="dxa"/>
            <w:left w:w="108" w:type="dxa"/>
            <w:bottom w:w="0" w:type="dxa"/>
            <w:right w:w="108" w:type="dxa"/>
          </w:tblCellMar>
        </w:tblPrEx>
        <w:trPr>
          <w:trHeight w:val="456" w:hRule="atLeast"/>
          <w:jc w:val="center"/>
        </w:trPr>
        <w:tc>
          <w:tcPr>
            <w:tcW w:w="1101" w:type="dxa"/>
            <w:vMerge w:val="continue"/>
            <w:tcBorders>
              <w:left w:val="single" w:color="auto" w:sz="4" w:space="0"/>
              <w:right w:val="single" w:color="auto" w:sz="4" w:space="0"/>
            </w:tcBorders>
            <w:noWrap/>
            <w:vAlign w:val="center"/>
          </w:tcPr>
          <w:p w14:paraId="4F4FE8D4">
            <w:pPr>
              <w:spacing w:line="460" w:lineRule="exact"/>
              <w:jc w:val="center"/>
              <w:rPr>
                <w:rFonts w:ascii="宋体" w:hAnsi="宋体" w:eastAsia="宋体" w:cs="Times New Roman"/>
                <w:sz w:val="24"/>
                <w:szCs w:val="24"/>
              </w:rPr>
            </w:pPr>
          </w:p>
        </w:tc>
        <w:tc>
          <w:tcPr>
            <w:tcW w:w="1701" w:type="dxa"/>
            <w:vMerge w:val="continue"/>
            <w:tcBorders>
              <w:left w:val="nil"/>
              <w:right w:val="single" w:color="auto" w:sz="4" w:space="0"/>
            </w:tcBorders>
            <w:noWrap/>
            <w:vAlign w:val="center"/>
          </w:tcPr>
          <w:p w14:paraId="551D5BAF">
            <w:pPr>
              <w:spacing w:line="460" w:lineRule="exact"/>
              <w:jc w:val="center"/>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489EE54C">
            <w:pPr>
              <w:spacing w:line="460" w:lineRule="exact"/>
              <w:rPr>
                <w:rFonts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sz w:val="24"/>
                <w:szCs w:val="24"/>
              </w:rPr>
              <w:t>三门峡市陕州区</w:t>
            </w:r>
            <w:r>
              <w:rPr>
                <w:rFonts w:hint="eastAsia" w:ascii="宋体" w:hAnsi="宋体" w:eastAsia="宋体" w:cs="Times New Roman"/>
                <w:sz w:val="24"/>
                <w:szCs w:val="24"/>
                <w:lang w:val="en-US" w:eastAsia="zh-CN"/>
              </w:rPr>
              <w:t>陕州大道中段</w:t>
            </w:r>
          </w:p>
        </w:tc>
      </w:tr>
      <w:tr w14:paraId="076AD86C">
        <w:tblPrEx>
          <w:tblCellMar>
            <w:top w:w="0" w:type="dxa"/>
            <w:left w:w="108" w:type="dxa"/>
            <w:bottom w:w="0" w:type="dxa"/>
            <w:right w:w="108" w:type="dxa"/>
          </w:tblCellMar>
        </w:tblPrEx>
        <w:trPr>
          <w:trHeight w:val="520"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5E80885A">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p w14:paraId="4356A5C2">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1701" w:type="dxa"/>
            <w:vMerge w:val="continue"/>
            <w:tcBorders>
              <w:top w:val="nil"/>
              <w:left w:val="nil"/>
              <w:bottom w:val="single" w:color="auto" w:sz="4" w:space="0"/>
              <w:right w:val="single" w:color="auto" w:sz="4" w:space="0"/>
            </w:tcBorders>
            <w:noWrap/>
            <w:vAlign w:val="center"/>
          </w:tcPr>
          <w:p w14:paraId="0FE4C3F3">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FA53A88">
            <w:pPr>
              <w:spacing w:line="460" w:lineRule="exact"/>
              <w:rPr>
                <w:rFonts w:ascii="宋体" w:hAnsi="宋体" w:eastAsia="宋体" w:cs="宋体"/>
                <w:sz w:val="24"/>
                <w:szCs w:val="24"/>
              </w:rPr>
            </w:pPr>
            <w:r>
              <w:rPr>
                <w:rFonts w:hint="eastAsia" w:ascii="宋体" w:hAnsi="宋体" w:eastAsia="宋体" w:cs="Times New Roman"/>
                <w:sz w:val="24"/>
                <w:szCs w:val="24"/>
              </w:rPr>
              <w:t>联系人（电话）：</w:t>
            </w:r>
            <w:r>
              <w:rPr>
                <w:rFonts w:ascii="宋体" w:hAnsi="宋体" w:eastAsia="宋体" w:cs="宋体"/>
                <w:sz w:val="24"/>
                <w:szCs w:val="24"/>
              </w:rPr>
              <w:t xml:space="preserve"> </w:t>
            </w:r>
            <w:r>
              <w:rPr>
                <w:rFonts w:hint="eastAsia" w:ascii="宋体" w:hAnsi="宋体" w:eastAsia="宋体" w:cs="宋体"/>
                <w:bCs/>
                <w:kern w:val="0"/>
                <w:sz w:val="24"/>
                <w:lang w:val="en-US" w:eastAsia="zh-CN"/>
              </w:rPr>
              <w:t>王女士</w:t>
            </w:r>
            <w:r>
              <w:rPr>
                <w:rFonts w:hint="eastAsia" w:ascii="宋体" w:hAnsi="宋体" w:eastAsia="宋体" w:cs="宋体"/>
                <w:sz w:val="24"/>
                <w:szCs w:val="24"/>
              </w:rPr>
              <w:t>（</w:t>
            </w:r>
            <w:r>
              <w:rPr>
                <w:rFonts w:hint="eastAsia" w:ascii="宋体" w:hAnsi="宋体" w:eastAsia="宋体" w:cs="Times New Roman"/>
                <w:kern w:val="0"/>
                <w:sz w:val="24"/>
                <w:shd w:val="clear" w:color="auto" w:fill="FFFFFF"/>
                <w:lang w:val="en-US" w:eastAsia="zh-CN"/>
              </w:rPr>
              <w:t>0398-3835689</w:t>
            </w:r>
            <w:r>
              <w:rPr>
                <w:rFonts w:hint="eastAsia" w:ascii="宋体" w:hAnsi="宋体" w:eastAsia="宋体" w:cs="宋体"/>
                <w:sz w:val="24"/>
                <w:szCs w:val="24"/>
              </w:rPr>
              <w:t>）</w:t>
            </w:r>
          </w:p>
        </w:tc>
      </w:tr>
      <w:tr w14:paraId="06B8FC9A">
        <w:tblPrEx>
          <w:tblCellMar>
            <w:top w:w="0" w:type="dxa"/>
            <w:left w:w="108" w:type="dxa"/>
            <w:bottom w:w="0" w:type="dxa"/>
            <w:right w:w="108" w:type="dxa"/>
          </w:tblCellMar>
        </w:tblPrEx>
        <w:trPr>
          <w:trHeight w:val="579"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67A28F6D">
            <w:pPr>
              <w:spacing w:line="460" w:lineRule="exact"/>
              <w:jc w:val="center"/>
              <w:rPr>
                <w:rFonts w:ascii="宋体" w:hAnsi="宋体" w:eastAsia="宋体" w:cs="Times New Roman"/>
                <w:sz w:val="24"/>
                <w:szCs w:val="24"/>
              </w:rPr>
            </w:pPr>
            <w:r>
              <w:rPr>
                <w:rFonts w:ascii="宋体" w:hAnsi="宋体" w:eastAsia="宋体" w:cs="Times New Roman"/>
                <w:sz w:val="24"/>
                <w:szCs w:val="24"/>
              </w:rPr>
              <w:t>1.2</w:t>
            </w:r>
          </w:p>
        </w:tc>
        <w:tc>
          <w:tcPr>
            <w:tcW w:w="1701" w:type="dxa"/>
            <w:vMerge w:val="restart"/>
            <w:tcBorders>
              <w:top w:val="nil"/>
              <w:left w:val="nil"/>
              <w:bottom w:val="single" w:color="auto" w:sz="4" w:space="0"/>
              <w:right w:val="single" w:color="auto" w:sz="4" w:space="0"/>
            </w:tcBorders>
            <w:noWrap/>
            <w:vAlign w:val="center"/>
          </w:tcPr>
          <w:p w14:paraId="401A7BC5">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采购代理机构</w:t>
            </w:r>
          </w:p>
        </w:tc>
        <w:tc>
          <w:tcPr>
            <w:tcW w:w="6782" w:type="dxa"/>
            <w:tcBorders>
              <w:top w:val="single" w:color="auto" w:sz="4" w:space="0"/>
              <w:left w:val="nil"/>
              <w:bottom w:val="single" w:color="auto" w:sz="4" w:space="0"/>
              <w:right w:val="single" w:color="auto" w:sz="4" w:space="0"/>
            </w:tcBorders>
            <w:noWrap/>
            <w:vAlign w:val="center"/>
          </w:tcPr>
          <w:p w14:paraId="60CF611C">
            <w:pPr>
              <w:spacing w:line="46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eastAsia="zh-CN"/>
              </w:rPr>
              <w:t>正为技术有限公司</w:t>
            </w:r>
          </w:p>
        </w:tc>
      </w:tr>
      <w:tr w14:paraId="372B9C92">
        <w:tblPrEx>
          <w:tblCellMar>
            <w:top w:w="0" w:type="dxa"/>
            <w:left w:w="108" w:type="dxa"/>
            <w:bottom w:w="0" w:type="dxa"/>
            <w:right w:w="108" w:type="dxa"/>
          </w:tblCellMar>
        </w:tblPrEx>
        <w:trPr>
          <w:trHeight w:val="559"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0A4A14F7">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3C63BD51">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66F112AD">
            <w:pPr>
              <w:spacing w:line="460" w:lineRule="exact"/>
              <w:rPr>
                <w:rFonts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河南省郑州市金水区索凌路庙李商务大厦3单元10层1001室</w:t>
            </w:r>
          </w:p>
        </w:tc>
      </w:tr>
      <w:tr w14:paraId="1B22F978">
        <w:tblPrEx>
          <w:tblCellMar>
            <w:top w:w="0" w:type="dxa"/>
            <w:left w:w="108" w:type="dxa"/>
            <w:bottom w:w="0" w:type="dxa"/>
            <w:right w:w="108" w:type="dxa"/>
          </w:tblCellMar>
        </w:tblPrEx>
        <w:trPr>
          <w:trHeight w:val="553"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12F594C1">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59D8841B">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52F29E6B">
            <w:pPr>
              <w:spacing w:line="460" w:lineRule="exact"/>
              <w:rPr>
                <w:rFonts w:ascii="宋体" w:hAnsi="宋体" w:eastAsia="宋体" w:cs="Times New Roman"/>
                <w:sz w:val="24"/>
                <w:szCs w:val="24"/>
              </w:rPr>
            </w:pPr>
            <w:r>
              <w:rPr>
                <w:rFonts w:hint="eastAsia" w:ascii="宋体" w:hAnsi="宋体" w:eastAsia="宋体" w:cs="Times New Roman"/>
                <w:sz w:val="24"/>
                <w:szCs w:val="24"/>
              </w:rPr>
              <w:t>联系人（电话）：</w:t>
            </w:r>
            <w:r>
              <w:rPr>
                <w:rFonts w:hint="eastAsia" w:ascii="宋体" w:hAnsi="宋体" w:eastAsia="宋体" w:cs="Times New Roman"/>
                <w:sz w:val="24"/>
                <w:szCs w:val="24"/>
                <w:lang w:val="en-US" w:eastAsia="zh-CN"/>
              </w:rPr>
              <w:t>莫先生</w:t>
            </w:r>
            <w:r>
              <w:rPr>
                <w:rFonts w:hint="eastAsia" w:ascii="宋体" w:hAnsi="宋体" w:eastAsia="宋体" w:cs="宋体"/>
                <w:sz w:val="24"/>
                <w:szCs w:val="24"/>
              </w:rPr>
              <w:t>（</w:t>
            </w:r>
            <w:r>
              <w:rPr>
                <w:rFonts w:hint="eastAsia" w:ascii="宋体" w:hAnsi="宋体" w:cs="宋体"/>
                <w:bCs/>
                <w:kern w:val="0"/>
                <w:sz w:val="24"/>
              </w:rPr>
              <w:t>1</w:t>
            </w:r>
            <w:r>
              <w:rPr>
                <w:rFonts w:hint="eastAsia" w:ascii="宋体" w:hAnsi="宋体" w:cs="宋体"/>
                <w:bCs/>
                <w:kern w:val="0"/>
                <w:sz w:val="24"/>
                <w:lang w:val="en-US" w:eastAsia="zh-CN"/>
              </w:rPr>
              <w:t>8838113119</w:t>
            </w:r>
            <w:r>
              <w:rPr>
                <w:rFonts w:hint="eastAsia" w:ascii="宋体" w:hAnsi="宋体" w:eastAsia="宋体" w:cs="宋体"/>
                <w:sz w:val="24"/>
                <w:szCs w:val="24"/>
              </w:rPr>
              <w:t>）</w:t>
            </w:r>
          </w:p>
        </w:tc>
      </w:tr>
      <w:tr w14:paraId="234D3575">
        <w:tblPrEx>
          <w:tblCellMar>
            <w:top w:w="0" w:type="dxa"/>
            <w:left w:w="108" w:type="dxa"/>
            <w:bottom w:w="0" w:type="dxa"/>
            <w:right w:w="108" w:type="dxa"/>
          </w:tblCellMar>
        </w:tblPrEx>
        <w:trPr>
          <w:trHeight w:val="493" w:hRule="atLeast"/>
          <w:jc w:val="center"/>
        </w:trPr>
        <w:tc>
          <w:tcPr>
            <w:tcW w:w="1101" w:type="dxa"/>
            <w:tcBorders>
              <w:top w:val="nil"/>
              <w:left w:val="single" w:color="auto" w:sz="4" w:space="0"/>
              <w:bottom w:val="single" w:color="auto" w:sz="4" w:space="0"/>
              <w:right w:val="single" w:color="auto" w:sz="4" w:space="0"/>
            </w:tcBorders>
            <w:noWrap/>
            <w:vAlign w:val="center"/>
          </w:tcPr>
          <w:p w14:paraId="55CF3183">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1.3</w:t>
            </w:r>
          </w:p>
        </w:tc>
        <w:tc>
          <w:tcPr>
            <w:tcW w:w="1701" w:type="dxa"/>
            <w:tcBorders>
              <w:top w:val="nil"/>
              <w:left w:val="nil"/>
              <w:bottom w:val="single" w:color="auto" w:sz="4" w:space="0"/>
              <w:right w:val="single" w:color="auto" w:sz="4" w:space="0"/>
            </w:tcBorders>
            <w:noWrap/>
            <w:vAlign w:val="center"/>
          </w:tcPr>
          <w:p w14:paraId="771F9B08">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预算</w:t>
            </w:r>
            <w:r>
              <w:rPr>
                <w:rFonts w:ascii="宋体" w:hAnsi="宋体" w:eastAsia="宋体" w:cs="Times New Roman"/>
                <w:sz w:val="24"/>
                <w:szCs w:val="24"/>
              </w:rPr>
              <w:t>金额</w:t>
            </w:r>
          </w:p>
        </w:tc>
        <w:tc>
          <w:tcPr>
            <w:tcW w:w="6782" w:type="dxa"/>
            <w:tcBorders>
              <w:top w:val="single" w:color="auto" w:sz="4" w:space="0"/>
              <w:left w:val="nil"/>
              <w:bottom w:val="single" w:color="auto" w:sz="4" w:space="0"/>
              <w:right w:val="single" w:color="auto" w:sz="4" w:space="0"/>
            </w:tcBorders>
            <w:noWrap/>
            <w:vAlign w:val="center"/>
          </w:tcPr>
          <w:p w14:paraId="4E984CBC">
            <w:pPr>
              <w:spacing w:line="460" w:lineRule="exact"/>
              <w:rPr>
                <w:rFonts w:ascii="宋体" w:hAnsi="宋体" w:eastAsia="宋体" w:cs="Times New Roman"/>
                <w:sz w:val="24"/>
                <w:szCs w:val="24"/>
              </w:rPr>
            </w:pPr>
            <w:r>
              <w:rPr>
                <w:rFonts w:hint="eastAsia" w:ascii="宋体" w:hAnsi="宋体" w:eastAsia="宋体" w:cs="Times New Roman"/>
                <w:sz w:val="24"/>
                <w:szCs w:val="24"/>
                <w:lang w:val="en-US" w:eastAsia="zh-CN"/>
              </w:rPr>
              <w:t>1350000元</w:t>
            </w:r>
          </w:p>
        </w:tc>
      </w:tr>
      <w:tr w14:paraId="4C86E7D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667505B">
            <w:pPr>
              <w:spacing w:line="460" w:lineRule="exact"/>
              <w:jc w:val="center"/>
              <w:rPr>
                <w:rFonts w:ascii="宋体" w:hAnsi="宋体" w:eastAsia="宋体" w:cs="Times New Roman"/>
                <w:sz w:val="24"/>
                <w:szCs w:val="24"/>
              </w:rPr>
            </w:pPr>
            <w:r>
              <w:rPr>
                <w:rFonts w:ascii="宋体" w:hAnsi="宋体" w:eastAsia="宋体" w:cs="Times New Roman"/>
                <w:sz w:val="24"/>
                <w:szCs w:val="24"/>
              </w:rPr>
              <w:t>1.4</w:t>
            </w:r>
          </w:p>
        </w:tc>
        <w:tc>
          <w:tcPr>
            <w:tcW w:w="1701" w:type="dxa"/>
            <w:tcBorders>
              <w:top w:val="single" w:color="auto" w:sz="4" w:space="0"/>
              <w:left w:val="nil"/>
              <w:bottom w:val="single" w:color="auto" w:sz="4" w:space="0"/>
              <w:right w:val="single" w:color="auto" w:sz="4" w:space="0"/>
            </w:tcBorders>
            <w:noWrap/>
            <w:vAlign w:val="center"/>
          </w:tcPr>
          <w:p w14:paraId="1C2AD38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782" w:type="dxa"/>
            <w:tcBorders>
              <w:top w:val="single" w:color="auto" w:sz="4" w:space="0"/>
              <w:left w:val="nil"/>
              <w:bottom w:val="single" w:color="auto" w:sz="4" w:space="0"/>
              <w:right w:val="single" w:color="auto" w:sz="4" w:space="0"/>
            </w:tcBorders>
            <w:noWrap/>
            <w:vAlign w:val="center"/>
          </w:tcPr>
          <w:p w14:paraId="4B3A3D18">
            <w:pPr>
              <w:spacing w:line="460" w:lineRule="exact"/>
              <w:rPr>
                <w:rFonts w:ascii="宋体" w:hAnsi="宋体" w:eastAsia="宋体" w:cs="宋体"/>
                <w:sz w:val="24"/>
                <w:szCs w:val="24"/>
              </w:rPr>
            </w:pPr>
            <w:r>
              <w:rPr>
                <w:rFonts w:hint="eastAsia" w:ascii="宋体" w:hAnsi="宋体" w:eastAsia="宋体" w:cs="Times New Roman"/>
                <w:kern w:val="0"/>
                <w:sz w:val="24"/>
                <w:shd w:val="clear" w:color="auto" w:fill="FFFFFF"/>
                <w:lang w:val="en-US" w:eastAsia="zh-CN"/>
              </w:rPr>
              <w:t>三门峡市陕州区主城区照明设施设备更新改造项目（陕州大道段）</w:t>
            </w:r>
          </w:p>
        </w:tc>
      </w:tr>
      <w:tr w14:paraId="035371E4">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3F1A6DA">
            <w:pPr>
              <w:spacing w:line="460" w:lineRule="exact"/>
              <w:jc w:val="center"/>
              <w:rPr>
                <w:rFonts w:ascii="宋体" w:hAnsi="宋体" w:eastAsia="宋体" w:cs="Times New Roman"/>
                <w:sz w:val="24"/>
                <w:szCs w:val="24"/>
              </w:rPr>
            </w:pPr>
            <w:r>
              <w:rPr>
                <w:rFonts w:ascii="宋体" w:hAnsi="宋体" w:eastAsia="宋体" w:cs="Times New Roman"/>
                <w:sz w:val="24"/>
                <w:szCs w:val="24"/>
              </w:rPr>
              <w:t>1.5</w:t>
            </w:r>
          </w:p>
        </w:tc>
        <w:tc>
          <w:tcPr>
            <w:tcW w:w="1701" w:type="dxa"/>
            <w:tcBorders>
              <w:top w:val="single" w:color="auto" w:sz="4" w:space="0"/>
              <w:left w:val="nil"/>
              <w:bottom w:val="single" w:color="auto" w:sz="4" w:space="0"/>
              <w:right w:val="single" w:color="auto" w:sz="4" w:space="0"/>
            </w:tcBorders>
            <w:noWrap/>
            <w:vAlign w:val="center"/>
          </w:tcPr>
          <w:p w14:paraId="080997E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资金来源及</w:t>
            </w:r>
            <w:r>
              <w:rPr>
                <w:rFonts w:ascii="宋体" w:hAnsi="宋体" w:eastAsia="宋体" w:cs="Times New Roman"/>
                <w:sz w:val="24"/>
                <w:szCs w:val="24"/>
              </w:rPr>
              <w:t>落实情况</w:t>
            </w:r>
          </w:p>
        </w:tc>
        <w:tc>
          <w:tcPr>
            <w:tcW w:w="6782" w:type="dxa"/>
            <w:tcBorders>
              <w:top w:val="single" w:color="auto" w:sz="4" w:space="0"/>
              <w:left w:val="nil"/>
              <w:bottom w:val="single" w:color="auto" w:sz="4" w:space="0"/>
              <w:right w:val="single" w:color="auto" w:sz="4" w:space="0"/>
            </w:tcBorders>
            <w:noWrap/>
            <w:vAlign w:val="center"/>
          </w:tcPr>
          <w:p w14:paraId="260573D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财政资金，已落实。</w:t>
            </w:r>
          </w:p>
        </w:tc>
      </w:tr>
      <w:tr w14:paraId="2113FC2A">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3BF3A1C">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541EE6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交货地点</w:t>
            </w:r>
          </w:p>
        </w:tc>
        <w:tc>
          <w:tcPr>
            <w:tcW w:w="6782" w:type="dxa"/>
            <w:tcBorders>
              <w:top w:val="single" w:color="auto" w:sz="4" w:space="0"/>
              <w:left w:val="nil"/>
              <w:bottom w:val="single" w:color="auto" w:sz="4" w:space="0"/>
              <w:right w:val="single" w:color="auto" w:sz="4" w:space="0"/>
            </w:tcBorders>
            <w:noWrap/>
            <w:vAlign w:val="center"/>
          </w:tcPr>
          <w:p w14:paraId="4860245F">
            <w:pPr>
              <w:spacing w:line="460" w:lineRule="exact"/>
              <w:rPr>
                <w:rFonts w:ascii="宋体" w:hAnsi="宋体" w:eastAsia="宋体" w:cs="Times New Roman"/>
                <w:sz w:val="24"/>
                <w:szCs w:val="24"/>
              </w:rPr>
            </w:pPr>
            <w:r>
              <w:rPr>
                <w:rFonts w:hint="eastAsia" w:ascii="宋体" w:hAnsi="宋体" w:eastAsia="宋体" w:cs="Times New Roman"/>
                <w:sz w:val="24"/>
                <w:szCs w:val="24"/>
              </w:rPr>
              <w:t>采购人指定地点。</w:t>
            </w:r>
          </w:p>
        </w:tc>
      </w:tr>
      <w:tr w14:paraId="4E09E833">
        <w:tblPrEx>
          <w:tblCellMar>
            <w:top w:w="0" w:type="dxa"/>
            <w:left w:w="108" w:type="dxa"/>
            <w:bottom w:w="0" w:type="dxa"/>
            <w:right w:w="108" w:type="dxa"/>
          </w:tblCellMar>
        </w:tblPrEx>
        <w:trPr>
          <w:trHeight w:val="1299" w:hRule="atLeast"/>
          <w:jc w:val="center"/>
        </w:trPr>
        <w:tc>
          <w:tcPr>
            <w:tcW w:w="1101" w:type="dxa"/>
            <w:tcBorders>
              <w:top w:val="nil"/>
              <w:left w:val="single" w:color="auto" w:sz="4" w:space="0"/>
              <w:bottom w:val="single" w:color="auto" w:sz="4" w:space="0"/>
              <w:right w:val="single" w:color="auto" w:sz="4" w:space="0"/>
            </w:tcBorders>
            <w:noWrap/>
            <w:vAlign w:val="center"/>
          </w:tcPr>
          <w:p w14:paraId="6306844F">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7</w:t>
            </w:r>
          </w:p>
        </w:tc>
        <w:tc>
          <w:tcPr>
            <w:tcW w:w="1701" w:type="dxa"/>
            <w:tcBorders>
              <w:top w:val="nil"/>
              <w:left w:val="nil"/>
              <w:bottom w:val="single" w:color="auto" w:sz="4" w:space="0"/>
              <w:right w:val="single" w:color="auto" w:sz="4" w:space="0"/>
            </w:tcBorders>
            <w:noWrap/>
            <w:vAlign w:val="center"/>
          </w:tcPr>
          <w:p w14:paraId="3AE1474B">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采购范围</w:t>
            </w:r>
          </w:p>
        </w:tc>
        <w:tc>
          <w:tcPr>
            <w:tcW w:w="6782" w:type="dxa"/>
            <w:tcBorders>
              <w:top w:val="nil"/>
              <w:left w:val="nil"/>
              <w:bottom w:val="single" w:color="auto" w:sz="4" w:space="0"/>
              <w:right w:val="single" w:color="auto" w:sz="4" w:space="0"/>
            </w:tcBorders>
            <w:noWrap/>
            <w:vAlign w:val="center"/>
          </w:tcPr>
          <w:p w14:paraId="187C2D4A">
            <w:pPr>
              <w:spacing w:line="360" w:lineRule="auto"/>
              <w:rPr>
                <w:rFonts w:ascii="宋体" w:hAnsi="宋体" w:eastAsia="宋体" w:cs="Times New Roman"/>
                <w:sz w:val="24"/>
                <w:szCs w:val="21"/>
              </w:rPr>
            </w:pPr>
            <w:r>
              <w:rPr>
                <w:rFonts w:hint="eastAsia" w:ascii="宋体" w:hAnsi="宋体" w:eastAsia="宋体" w:cs="Times New Roman"/>
                <w:sz w:val="24"/>
                <w:szCs w:val="28"/>
              </w:rPr>
              <w:t>本项目为三门峡市陕州区主城区照明设施设备更新改造项目（陕州大道段），主要内容是LED灯具采购、单灯控制器采购、灯联网平台建设等及安装、培训、验收、质保期服务、与货物有关的运输和保险及其他伴随服务，</w:t>
            </w:r>
            <w:r>
              <w:rPr>
                <w:rFonts w:hint="eastAsia" w:ascii="宋体" w:hAnsi="宋体" w:eastAsia="宋体" w:cs="宋体"/>
                <w:sz w:val="24"/>
                <w:szCs w:val="21"/>
              </w:rPr>
              <w:t>具体参数</w:t>
            </w:r>
            <w:r>
              <w:rPr>
                <w:rFonts w:hint="eastAsia" w:ascii="宋体" w:hAnsi="宋体" w:eastAsia="宋体" w:cs="Times New Roman"/>
                <w:sz w:val="24"/>
                <w:szCs w:val="21"/>
              </w:rPr>
              <w:t>详见竞争性磋商文件第三章。</w:t>
            </w:r>
          </w:p>
        </w:tc>
      </w:tr>
      <w:tr w14:paraId="062FA184">
        <w:tblPrEx>
          <w:tblCellMar>
            <w:top w:w="0" w:type="dxa"/>
            <w:left w:w="108" w:type="dxa"/>
            <w:bottom w:w="0" w:type="dxa"/>
            <w:right w:w="108" w:type="dxa"/>
          </w:tblCellMar>
        </w:tblPrEx>
        <w:trPr>
          <w:trHeight w:val="52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AC5924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1.8</w:t>
            </w:r>
          </w:p>
        </w:tc>
        <w:tc>
          <w:tcPr>
            <w:tcW w:w="1701" w:type="dxa"/>
            <w:tcBorders>
              <w:top w:val="single" w:color="auto" w:sz="4" w:space="0"/>
              <w:left w:val="nil"/>
              <w:bottom w:val="single" w:color="auto" w:sz="4" w:space="0"/>
              <w:right w:val="single" w:color="auto" w:sz="4" w:space="0"/>
            </w:tcBorders>
            <w:noWrap/>
            <w:vAlign w:val="center"/>
          </w:tcPr>
          <w:p w14:paraId="147F9C62">
            <w:pPr>
              <w:keepLines/>
              <w:spacing w:line="46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交货期</w:t>
            </w:r>
            <w:r>
              <w:rPr>
                <w:rFonts w:hint="eastAsia" w:ascii="宋体" w:hAnsi="宋体" w:eastAsia="宋体" w:cs="Times New Roman"/>
                <w:kern w:val="0"/>
                <w:sz w:val="24"/>
                <w:szCs w:val="24"/>
                <w:lang w:val="en-US" w:eastAsia="zh-CN"/>
              </w:rPr>
              <w:t>及服务期限</w:t>
            </w:r>
          </w:p>
        </w:tc>
        <w:tc>
          <w:tcPr>
            <w:tcW w:w="6782" w:type="dxa"/>
            <w:tcBorders>
              <w:top w:val="single" w:color="auto" w:sz="4" w:space="0"/>
              <w:left w:val="nil"/>
              <w:bottom w:val="single" w:color="auto" w:sz="4" w:space="0"/>
              <w:right w:val="single" w:color="auto" w:sz="4" w:space="0"/>
            </w:tcBorders>
            <w:noWrap/>
            <w:vAlign w:val="center"/>
          </w:tcPr>
          <w:p w14:paraId="1222138D">
            <w:pPr>
              <w:spacing w:line="360" w:lineRule="auto"/>
              <w:rPr>
                <w:rFonts w:hint="eastAsia" w:ascii="宋体" w:hAnsi="宋体" w:eastAsia="宋体" w:cs="Times New Roman"/>
                <w:sz w:val="24"/>
                <w:szCs w:val="28"/>
                <w:lang w:eastAsia="zh-CN"/>
              </w:rPr>
            </w:pPr>
            <w:r>
              <w:rPr>
                <w:rFonts w:hint="eastAsia" w:ascii="宋体" w:hAnsi="宋体" w:eastAsia="宋体" w:cs="Times New Roman"/>
                <w:sz w:val="24"/>
                <w:szCs w:val="28"/>
                <w:lang w:val="en-US" w:eastAsia="zh-CN"/>
              </w:rPr>
              <w:t>交货期：</w:t>
            </w:r>
            <w:r>
              <w:rPr>
                <w:rFonts w:hint="eastAsia" w:ascii="宋体" w:hAnsi="宋体" w:eastAsia="宋体" w:cs="Times New Roman"/>
                <w:sz w:val="24"/>
                <w:szCs w:val="28"/>
                <w:lang w:eastAsia="zh-CN"/>
              </w:rPr>
              <w:t>签订合同后30日历天内；</w:t>
            </w:r>
          </w:p>
          <w:p w14:paraId="03DCA8AB">
            <w:pPr>
              <w:spacing w:line="360" w:lineRule="auto"/>
              <w:rPr>
                <w:rFonts w:hint="eastAsia" w:ascii="宋体" w:hAnsi="宋体" w:eastAsia="宋体" w:cs="Times New Roman"/>
                <w:sz w:val="24"/>
                <w:szCs w:val="28"/>
              </w:rPr>
            </w:pPr>
            <w:r>
              <w:rPr>
                <w:rFonts w:hint="eastAsia" w:ascii="宋体" w:hAnsi="宋体" w:eastAsia="宋体" w:cs="Times New Roman"/>
                <w:sz w:val="24"/>
                <w:szCs w:val="28"/>
                <w:lang w:val="en-US" w:eastAsia="zh-CN"/>
              </w:rPr>
              <w:t>服务期限：平台使用权限3年。</w:t>
            </w:r>
          </w:p>
        </w:tc>
      </w:tr>
      <w:tr w14:paraId="67304E38">
        <w:tblPrEx>
          <w:tblCellMar>
            <w:top w:w="0" w:type="dxa"/>
            <w:left w:w="108" w:type="dxa"/>
            <w:bottom w:w="0" w:type="dxa"/>
            <w:right w:w="108" w:type="dxa"/>
          </w:tblCellMar>
        </w:tblPrEx>
        <w:trPr>
          <w:trHeight w:val="43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1E00036">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9</w:t>
            </w:r>
          </w:p>
        </w:tc>
        <w:tc>
          <w:tcPr>
            <w:tcW w:w="1701" w:type="dxa"/>
            <w:tcBorders>
              <w:top w:val="single" w:color="auto" w:sz="4" w:space="0"/>
              <w:left w:val="nil"/>
              <w:bottom w:val="single" w:color="auto" w:sz="4" w:space="0"/>
              <w:right w:val="single" w:color="auto" w:sz="4" w:space="0"/>
            </w:tcBorders>
            <w:noWrap/>
            <w:vAlign w:val="center"/>
          </w:tcPr>
          <w:p w14:paraId="6EEA71AF">
            <w:pPr>
              <w:keepLines/>
              <w:spacing w:line="4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质保期</w:t>
            </w:r>
          </w:p>
        </w:tc>
        <w:tc>
          <w:tcPr>
            <w:tcW w:w="6782" w:type="dxa"/>
            <w:tcBorders>
              <w:top w:val="single" w:color="auto" w:sz="4" w:space="0"/>
              <w:left w:val="nil"/>
              <w:bottom w:val="single" w:color="auto" w:sz="4" w:space="0"/>
              <w:right w:val="single" w:color="auto" w:sz="4" w:space="0"/>
            </w:tcBorders>
            <w:noWrap/>
            <w:vAlign w:val="center"/>
          </w:tcPr>
          <w:p w14:paraId="466ACEF9">
            <w:pPr>
              <w:spacing w:after="120" w:line="460" w:lineRule="exact"/>
              <w:rPr>
                <w:rFonts w:ascii="宋体" w:hAnsi="宋体" w:eastAsia="宋体" w:cs="Arial Unicode MS"/>
                <w:color w:val="auto"/>
                <w:sz w:val="28"/>
                <w:szCs w:val="28"/>
              </w:rPr>
            </w:pPr>
            <w:r>
              <w:rPr>
                <w:rFonts w:hint="eastAsia" w:ascii="宋体" w:hAnsi="宋体" w:eastAsia="宋体" w:cs="Times New Roman"/>
                <w:color w:val="auto"/>
                <w:kern w:val="0"/>
                <w:sz w:val="24"/>
                <w:szCs w:val="24"/>
              </w:rPr>
              <w:t>灯具、单灯控制器质保期3年。</w:t>
            </w:r>
          </w:p>
        </w:tc>
      </w:tr>
      <w:tr w14:paraId="53F01479">
        <w:tblPrEx>
          <w:tblCellMar>
            <w:top w:w="0" w:type="dxa"/>
            <w:left w:w="108" w:type="dxa"/>
            <w:bottom w:w="0" w:type="dxa"/>
            <w:right w:w="108" w:type="dxa"/>
          </w:tblCellMar>
        </w:tblPrEx>
        <w:trPr>
          <w:trHeight w:val="57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7422F1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2.0</w:t>
            </w:r>
          </w:p>
        </w:tc>
        <w:tc>
          <w:tcPr>
            <w:tcW w:w="1701" w:type="dxa"/>
            <w:tcBorders>
              <w:top w:val="single" w:color="auto" w:sz="4" w:space="0"/>
              <w:left w:val="nil"/>
              <w:bottom w:val="single" w:color="auto" w:sz="4" w:space="0"/>
              <w:right w:val="single" w:color="auto" w:sz="4" w:space="0"/>
            </w:tcBorders>
            <w:noWrap/>
            <w:vAlign w:val="center"/>
          </w:tcPr>
          <w:p w14:paraId="149583B3">
            <w:pPr>
              <w:keepLines/>
              <w:spacing w:line="460" w:lineRule="exact"/>
              <w:jc w:val="center"/>
              <w:rPr>
                <w:rFonts w:ascii="宋体" w:hAnsi="宋体" w:eastAsia="宋体" w:cs="Times New Roman"/>
                <w:sz w:val="24"/>
                <w:szCs w:val="21"/>
              </w:rPr>
            </w:pPr>
            <w:r>
              <w:rPr>
                <w:rFonts w:hint="eastAsia" w:ascii="宋体" w:hAnsi="宋体" w:eastAsia="宋体" w:cs="Times New Roman"/>
                <w:sz w:val="24"/>
                <w:szCs w:val="21"/>
              </w:rPr>
              <w:t>质量要求</w:t>
            </w:r>
          </w:p>
        </w:tc>
        <w:tc>
          <w:tcPr>
            <w:tcW w:w="6782" w:type="dxa"/>
            <w:tcBorders>
              <w:top w:val="single" w:color="auto" w:sz="4" w:space="0"/>
              <w:left w:val="nil"/>
              <w:bottom w:val="single" w:color="auto" w:sz="4" w:space="0"/>
              <w:right w:val="single" w:color="auto" w:sz="4" w:space="0"/>
            </w:tcBorders>
            <w:noWrap/>
            <w:vAlign w:val="center"/>
          </w:tcPr>
          <w:p w14:paraId="607C12A6">
            <w:pPr>
              <w:keepLines/>
              <w:spacing w:line="460" w:lineRule="exact"/>
              <w:jc w:val="left"/>
              <w:rPr>
                <w:rFonts w:ascii="宋体" w:hAnsi="宋体" w:eastAsia="宋体" w:cs="Times New Roman"/>
                <w:sz w:val="24"/>
                <w:szCs w:val="21"/>
              </w:rPr>
            </w:pPr>
            <w:r>
              <w:rPr>
                <w:rFonts w:hint="eastAsia" w:ascii="宋体" w:hAnsi="宋体" w:eastAsia="宋体" w:cs="Times New Roman"/>
                <w:sz w:val="24"/>
                <w:szCs w:val="24"/>
              </w:rPr>
              <w:t>符合国家及行业相关规范和标准</w:t>
            </w:r>
            <w:r>
              <w:rPr>
                <w:rFonts w:hint="eastAsia" w:ascii="宋体" w:hAnsi="宋体" w:eastAsia="宋体" w:cs="宋体"/>
                <w:sz w:val="24"/>
                <w:szCs w:val="21"/>
                <w:shd w:val="clear" w:color="auto" w:fill="FFFFFF"/>
              </w:rPr>
              <w:t>。</w:t>
            </w:r>
          </w:p>
        </w:tc>
      </w:tr>
      <w:tr w14:paraId="075B336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57A3C4B">
            <w:pPr>
              <w:spacing w:line="460" w:lineRule="exact"/>
              <w:rPr>
                <w:rFonts w:ascii="宋体" w:hAnsi="宋体" w:eastAsia="宋体" w:cs="Times New Roman"/>
                <w:sz w:val="24"/>
                <w:szCs w:val="24"/>
              </w:rPr>
            </w:pPr>
            <w:r>
              <w:rPr>
                <w:rFonts w:ascii="宋体" w:hAnsi="宋体" w:eastAsia="宋体" w:cs="Times New Roman"/>
                <w:sz w:val="24"/>
                <w:szCs w:val="24"/>
              </w:rPr>
              <w:t xml:space="preserve">  2.</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901C6A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磋商响应供应商资格要求</w:t>
            </w:r>
          </w:p>
        </w:tc>
        <w:tc>
          <w:tcPr>
            <w:tcW w:w="6782" w:type="dxa"/>
            <w:tcBorders>
              <w:top w:val="single" w:color="auto" w:sz="4" w:space="0"/>
              <w:left w:val="nil"/>
              <w:bottom w:val="single" w:color="auto" w:sz="4" w:space="0"/>
              <w:right w:val="single" w:color="auto" w:sz="4" w:space="0"/>
            </w:tcBorders>
            <w:noWrap/>
            <w:vAlign w:val="center"/>
          </w:tcPr>
          <w:p w14:paraId="502419FB">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1</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满足《中华人民共和国政府采购法》第二十二条规定；</w:t>
            </w:r>
          </w:p>
          <w:p w14:paraId="13EAD86F">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2</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落实政府采购政策满足的资格要求：</w:t>
            </w:r>
            <w:r>
              <w:rPr>
                <w:rFonts w:hint="eastAsia" w:ascii="宋体" w:hAnsi="宋体" w:eastAsia="宋体" w:cs="宋体"/>
                <w:sz w:val="24"/>
                <w:szCs w:val="21"/>
                <w:lang w:val="en-US" w:eastAsia="zh-CN"/>
              </w:rPr>
              <w:t>本项目执行促进中小企业（监狱企业、残疾人福利性企业）发展等政府采购政策。</w:t>
            </w:r>
          </w:p>
          <w:p w14:paraId="608FB7F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本项目的特定资格要求</w:t>
            </w:r>
          </w:p>
          <w:p w14:paraId="76FB55F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3.1</w:t>
            </w:r>
            <w:r>
              <w:rPr>
                <w:rFonts w:hint="eastAsia" w:ascii="宋体" w:hAnsi="宋体" w:eastAsia="宋体" w:cs="宋体"/>
                <w:sz w:val="24"/>
                <w:szCs w:val="21"/>
                <w:lang w:val="en-US" w:eastAsia="zh-CN"/>
              </w:rPr>
              <w:t>供应商具有合格有效的营业执照；提供具有履行合同所必需的设备和专业技术能力（自行作出承诺，格式自拟）；</w:t>
            </w:r>
          </w:p>
          <w:p w14:paraId="7399CB8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2供应商出具无行贿记录在中国裁判文书网自行查询或自行承诺（查询对象：企业、法定代表人）及企业自行承诺无商业贿赂和不正当竞争行为；</w:t>
            </w:r>
          </w:p>
          <w:p w14:paraId="79EED9A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3.3</w:t>
            </w:r>
            <w:r>
              <w:rPr>
                <w:rFonts w:hint="eastAsia" w:ascii="宋体" w:hAnsi="宋体" w:eastAsia="宋体" w:cs="宋体"/>
                <w:sz w:val="24"/>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BB88CD5">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3.4本项目不接受联合体投标；</w:t>
            </w:r>
          </w:p>
          <w:p w14:paraId="6B9C084E">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3.5本次磋商实行资格后审；</w:t>
            </w:r>
          </w:p>
          <w:p w14:paraId="14B7821A">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注：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tc>
      </w:tr>
      <w:tr w14:paraId="1C43650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166E38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0709262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磋商响应供应商提出问题的截止时间</w:t>
            </w:r>
          </w:p>
        </w:tc>
        <w:tc>
          <w:tcPr>
            <w:tcW w:w="6782" w:type="dxa"/>
            <w:tcBorders>
              <w:top w:val="single" w:color="auto" w:sz="4" w:space="0"/>
              <w:left w:val="nil"/>
              <w:bottom w:val="single" w:color="auto" w:sz="4" w:space="0"/>
              <w:right w:val="single" w:color="auto" w:sz="4" w:space="0"/>
            </w:tcBorders>
            <w:noWrap/>
            <w:vAlign w:val="center"/>
          </w:tcPr>
          <w:p w14:paraId="2BD8CE00">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3EE62F57">
        <w:tblPrEx>
          <w:tblCellMar>
            <w:top w:w="0" w:type="dxa"/>
            <w:left w:w="108" w:type="dxa"/>
            <w:bottom w:w="0" w:type="dxa"/>
            <w:right w:w="108" w:type="dxa"/>
          </w:tblCellMar>
        </w:tblPrEx>
        <w:trPr>
          <w:trHeight w:val="90" w:hRule="atLeast"/>
          <w:jc w:val="center"/>
        </w:trPr>
        <w:tc>
          <w:tcPr>
            <w:tcW w:w="1101" w:type="dxa"/>
            <w:tcBorders>
              <w:top w:val="nil"/>
              <w:left w:val="single" w:color="auto" w:sz="4" w:space="0"/>
              <w:bottom w:val="single" w:color="auto" w:sz="4" w:space="0"/>
              <w:right w:val="single" w:color="auto" w:sz="4" w:space="0"/>
            </w:tcBorders>
            <w:noWrap/>
            <w:vAlign w:val="center"/>
          </w:tcPr>
          <w:p w14:paraId="5E590423">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p>
        </w:tc>
        <w:tc>
          <w:tcPr>
            <w:tcW w:w="1701" w:type="dxa"/>
            <w:tcBorders>
              <w:top w:val="nil"/>
              <w:left w:val="nil"/>
              <w:bottom w:val="single" w:color="auto" w:sz="4" w:space="0"/>
              <w:right w:val="single" w:color="auto" w:sz="4" w:space="0"/>
            </w:tcBorders>
            <w:noWrap/>
            <w:vAlign w:val="center"/>
          </w:tcPr>
          <w:p w14:paraId="35C0A7B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采购人书面</w:t>
            </w:r>
          </w:p>
          <w:p w14:paraId="569269D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澄清的时间</w:t>
            </w:r>
          </w:p>
        </w:tc>
        <w:tc>
          <w:tcPr>
            <w:tcW w:w="6782" w:type="dxa"/>
            <w:tcBorders>
              <w:top w:val="nil"/>
              <w:left w:val="nil"/>
              <w:bottom w:val="single" w:color="auto" w:sz="4" w:space="0"/>
              <w:right w:val="single" w:color="auto" w:sz="4" w:space="0"/>
            </w:tcBorders>
            <w:noWrap/>
            <w:vAlign w:val="center"/>
          </w:tcPr>
          <w:p w14:paraId="2F482CCA">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571FBB00">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2246CE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p>
        </w:tc>
        <w:tc>
          <w:tcPr>
            <w:tcW w:w="1701" w:type="dxa"/>
            <w:tcBorders>
              <w:top w:val="single" w:color="auto" w:sz="4" w:space="0"/>
              <w:left w:val="nil"/>
              <w:bottom w:val="single" w:color="auto" w:sz="4" w:space="0"/>
              <w:right w:val="single" w:color="auto" w:sz="4" w:space="0"/>
            </w:tcBorders>
            <w:noWrap/>
            <w:vAlign w:val="center"/>
          </w:tcPr>
          <w:p w14:paraId="12812A0F">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磋商截止时间</w:t>
            </w:r>
          </w:p>
        </w:tc>
        <w:tc>
          <w:tcPr>
            <w:tcW w:w="6782" w:type="dxa"/>
            <w:tcBorders>
              <w:top w:val="single" w:color="auto" w:sz="4" w:space="0"/>
              <w:left w:val="nil"/>
              <w:bottom w:val="single" w:color="auto" w:sz="4" w:space="0"/>
              <w:right w:val="single" w:color="auto" w:sz="4" w:space="0"/>
            </w:tcBorders>
            <w:noWrap/>
            <w:vAlign w:val="center"/>
          </w:tcPr>
          <w:p w14:paraId="4B68357C">
            <w:pPr>
              <w:spacing w:line="46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lang w:eastAsia="zh-CN"/>
              </w:rPr>
              <w:t>8时30分</w:t>
            </w:r>
          </w:p>
        </w:tc>
      </w:tr>
      <w:tr w14:paraId="3A27A1C5">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A9A2CDD">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5DB8984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磋商有效期</w:t>
            </w:r>
          </w:p>
        </w:tc>
        <w:tc>
          <w:tcPr>
            <w:tcW w:w="6782" w:type="dxa"/>
            <w:tcBorders>
              <w:top w:val="single" w:color="auto" w:sz="4" w:space="0"/>
              <w:left w:val="nil"/>
              <w:bottom w:val="single" w:color="auto" w:sz="4" w:space="0"/>
              <w:right w:val="single" w:color="auto" w:sz="4" w:space="0"/>
            </w:tcBorders>
            <w:noWrap/>
            <w:vAlign w:val="center"/>
          </w:tcPr>
          <w:p w14:paraId="0E7EAA3B">
            <w:pPr>
              <w:spacing w:line="460" w:lineRule="exact"/>
              <w:rPr>
                <w:rFonts w:ascii="宋体" w:hAnsi="宋体" w:eastAsia="宋体" w:cs="Times New Roman"/>
                <w:sz w:val="24"/>
                <w:szCs w:val="24"/>
              </w:rPr>
            </w:pPr>
            <w:r>
              <w:rPr>
                <w:rFonts w:hint="eastAsia" w:ascii="宋体" w:hAnsi="宋体" w:eastAsia="宋体" w:cs="宋体"/>
                <w:kern w:val="0"/>
                <w:sz w:val="24"/>
                <w:szCs w:val="24"/>
              </w:rPr>
              <w:t>响应文件递交截止之日起60天</w:t>
            </w:r>
          </w:p>
        </w:tc>
      </w:tr>
      <w:tr w14:paraId="2CFFF3D8">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89B3EB">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2.6</w:t>
            </w:r>
          </w:p>
        </w:tc>
        <w:tc>
          <w:tcPr>
            <w:tcW w:w="1701" w:type="dxa"/>
            <w:tcBorders>
              <w:top w:val="single" w:color="auto" w:sz="4" w:space="0"/>
              <w:left w:val="nil"/>
              <w:bottom w:val="single" w:color="auto" w:sz="4" w:space="0"/>
              <w:right w:val="single" w:color="auto" w:sz="4" w:space="0"/>
            </w:tcBorders>
            <w:noWrap/>
            <w:vAlign w:val="center"/>
          </w:tcPr>
          <w:p w14:paraId="10D2CDEB">
            <w:pPr>
              <w:widowControl/>
              <w:spacing w:line="460" w:lineRule="exact"/>
              <w:jc w:val="center"/>
              <w:rPr>
                <w:rFonts w:ascii="宋体" w:hAnsi="宋体" w:eastAsia="宋体" w:cs="宋体"/>
                <w:kern w:val="0"/>
                <w:sz w:val="24"/>
                <w:szCs w:val="24"/>
              </w:rPr>
            </w:pPr>
            <w:r>
              <w:rPr>
                <w:rFonts w:hint="eastAsia" w:ascii="宋体" w:hAnsi="宋体" w:eastAsia="宋体" w:cs="宋体"/>
                <w:kern w:val="44"/>
                <w:sz w:val="24"/>
                <w:szCs w:val="24"/>
              </w:rPr>
              <w:t>磋商保证金</w:t>
            </w:r>
          </w:p>
        </w:tc>
        <w:tc>
          <w:tcPr>
            <w:tcW w:w="6782" w:type="dxa"/>
            <w:tcBorders>
              <w:top w:val="single" w:color="auto" w:sz="4" w:space="0"/>
              <w:left w:val="nil"/>
              <w:bottom w:val="single" w:color="auto" w:sz="4" w:space="0"/>
              <w:right w:val="single" w:color="auto" w:sz="4" w:space="0"/>
            </w:tcBorders>
            <w:noWrap/>
            <w:vAlign w:val="center"/>
          </w:tcPr>
          <w:p w14:paraId="4E511B49">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按照《河南省财政厅关于优化政府采购营商环境有关问题的通知》（豫财购[2020]4号文）的要求本项目不再收取保证金。</w:t>
            </w:r>
          </w:p>
        </w:tc>
      </w:tr>
      <w:tr w14:paraId="587F3E9A">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6C39697">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p>
        </w:tc>
        <w:tc>
          <w:tcPr>
            <w:tcW w:w="1701" w:type="dxa"/>
            <w:tcBorders>
              <w:top w:val="single" w:color="auto" w:sz="4" w:space="0"/>
              <w:left w:val="nil"/>
              <w:bottom w:val="single" w:color="auto" w:sz="4" w:space="0"/>
              <w:right w:val="single" w:color="auto" w:sz="4" w:space="0"/>
            </w:tcBorders>
            <w:noWrap/>
            <w:vAlign w:val="center"/>
          </w:tcPr>
          <w:p w14:paraId="3627237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签字或盖章</w:t>
            </w:r>
          </w:p>
          <w:p w14:paraId="7E2A5F1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要求</w:t>
            </w:r>
          </w:p>
        </w:tc>
        <w:tc>
          <w:tcPr>
            <w:tcW w:w="6782" w:type="dxa"/>
            <w:tcBorders>
              <w:top w:val="single" w:color="auto" w:sz="4" w:space="0"/>
              <w:left w:val="nil"/>
              <w:bottom w:val="single" w:color="auto" w:sz="4" w:space="0"/>
              <w:right w:val="single" w:color="auto" w:sz="4" w:space="0"/>
            </w:tcBorders>
            <w:noWrap/>
            <w:vAlign w:val="center"/>
          </w:tcPr>
          <w:p w14:paraId="5FE30440">
            <w:pPr>
              <w:spacing w:line="460" w:lineRule="exact"/>
              <w:rPr>
                <w:rFonts w:ascii="宋体" w:hAnsi="宋体" w:eastAsia="宋体" w:cs="Times New Roman"/>
                <w:sz w:val="24"/>
                <w:szCs w:val="24"/>
              </w:rPr>
            </w:pP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磋商响应供应商在进行电子化磋商响应文件签章时，竞争性磋商文件中要求磋商响应供应商盖章的，以签盖单位章为准；要求法定代表人签章的，以签盖法定代表人签章为准。</w:t>
            </w:r>
          </w:p>
        </w:tc>
      </w:tr>
      <w:tr w14:paraId="4B123DBB">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8B53539">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8264A92">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w:t>
            </w:r>
            <w:r>
              <w:rPr>
                <w:rFonts w:hint="eastAsia" w:ascii="宋体" w:hAnsi="宋体" w:eastAsia="宋体" w:cs="Times New Roman"/>
                <w:sz w:val="24"/>
                <w:szCs w:val="24"/>
              </w:rPr>
              <w:t>磋商</w:t>
            </w:r>
            <w:r>
              <w:rPr>
                <w:rFonts w:hint="eastAsia" w:ascii="宋体" w:hAnsi="宋体" w:eastAsia="宋体" w:cs="Times New Roman"/>
                <w:kern w:val="0"/>
                <w:sz w:val="24"/>
                <w:szCs w:val="24"/>
              </w:rPr>
              <w:t>响应文件的格式及上传</w:t>
            </w:r>
          </w:p>
        </w:tc>
        <w:tc>
          <w:tcPr>
            <w:tcW w:w="6782" w:type="dxa"/>
            <w:tcBorders>
              <w:top w:val="single" w:color="auto" w:sz="4" w:space="0"/>
              <w:left w:val="nil"/>
              <w:bottom w:val="single" w:color="auto" w:sz="4" w:space="0"/>
              <w:right w:val="single" w:color="auto" w:sz="4" w:space="0"/>
            </w:tcBorders>
            <w:noWrap/>
            <w:vAlign w:val="center"/>
          </w:tcPr>
          <w:p w14:paraId="7903E36B">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3C7A318">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2、电子化磋商响应文件应在投标截止时间前成功上传至三门峡市公共资源电子化交易系统。至投标截止时间止，仍未上传成功的电子化磋商响应文件将不予接收。</w:t>
            </w:r>
          </w:p>
          <w:p w14:paraId="0FD71B4C">
            <w:pPr>
              <w:spacing w:line="460" w:lineRule="exac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451A15BE">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11B796">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2.9</w:t>
            </w:r>
          </w:p>
        </w:tc>
        <w:tc>
          <w:tcPr>
            <w:tcW w:w="1701" w:type="dxa"/>
            <w:tcBorders>
              <w:top w:val="single" w:color="auto" w:sz="4" w:space="0"/>
              <w:left w:val="nil"/>
              <w:bottom w:val="single" w:color="auto" w:sz="4" w:space="0"/>
              <w:right w:val="single" w:color="auto" w:sz="4" w:space="0"/>
            </w:tcBorders>
            <w:noWrap/>
            <w:vAlign w:val="center"/>
          </w:tcPr>
          <w:p w14:paraId="1A434992">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磋商时间</w:t>
            </w:r>
          </w:p>
          <w:p w14:paraId="0743608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和地点</w:t>
            </w:r>
          </w:p>
        </w:tc>
        <w:tc>
          <w:tcPr>
            <w:tcW w:w="6782" w:type="dxa"/>
            <w:tcBorders>
              <w:top w:val="single" w:color="auto" w:sz="4" w:space="0"/>
              <w:left w:val="nil"/>
              <w:bottom w:val="single" w:color="auto" w:sz="4" w:space="0"/>
              <w:right w:val="single" w:color="auto" w:sz="4" w:space="0"/>
            </w:tcBorders>
            <w:noWrap/>
            <w:vAlign w:val="center"/>
          </w:tcPr>
          <w:p w14:paraId="4ED765EE">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lang w:eastAsia="zh-CN"/>
              </w:rPr>
              <w:t>8时30分</w:t>
            </w:r>
            <w:r>
              <w:rPr>
                <w:rFonts w:hint="eastAsia" w:ascii="宋体" w:hAnsi="宋体" w:eastAsia="宋体" w:cs="Times New Roman"/>
                <w:sz w:val="24"/>
                <w:szCs w:val="24"/>
                <w:highlight w:val="none"/>
              </w:rPr>
              <w:t>。</w:t>
            </w:r>
          </w:p>
          <w:p w14:paraId="7DE33249">
            <w:pPr>
              <w:spacing w:line="460" w:lineRule="exact"/>
              <w:rPr>
                <w:rFonts w:ascii="宋体" w:hAnsi="宋体" w:eastAsia="宋体" w:cs="Times New Roman"/>
                <w:sz w:val="24"/>
                <w:szCs w:val="24"/>
              </w:rPr>
            </w:pPr>
            <w:r>
              <w:rPr>
                <w:rFonts w:hint="eastAsia" w:ascii="宋体" w:hAnsi="宋体" w:eastAsia="宋体" w:cs="Times New Roman"/>
                <w:sz w:val="24"/>
                <w:szCs w:val="24"/>
                <w:highlight w:val="none"/>
              </w:rPr>
              <w:t>地点：三门峡市陕州区公共资源交易中心</w:t>
            </w:r>
            <w:r>
              <w:rPr>
                <w:rFonts w:hint="eastAsia" w:ascii="宋体" w:hAnsi="宋体" w:eastAsia="宋体" w:cs="Times New Roman"/>
                <w:sz w:val="24"/>
                <w:szCs w:val="24"/>
                <w:highlight w:val="none"/>
                <w:lang w:val="en-US" w:eastAsia="zh-CN"/>
              </w:rPr>
              <w:t>开标一室</w:t>
            </w:r>
            <w:r>
              <w:rPr>
                <w:rFonts w:hint="eastAsia" w:ascii="宋体" w:hAnsi="宋体" w:eastAsia="宋体" w:cs="Times New Roman"/>
                <w:sz w:val="24"/>
                <w:szCs w:val="24"/>
                <w:highlight w:val="none"/>
              </w:rPr>
              <w:t>（三门峡市陕州区新闻广播电视台四楼）。</w:t>
            </w:r>
          </w:p>
        </w:tc>
      </w:tr>
      <w:tr w14:paraId="4BC6F263">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9EF739">
            <w:pPr>
              <w:spacing w:line="460" w:lineRule="exact"/>
              <w:rPr>
                <w:rFonts w:ascii="宋体" w:hAnsi="宋体" w:eastAsia="宋体" w:cs="Times New Roman"/>
                <w:sz w:val="24"/>
                <w:szCs w:val="24"/>
              </w:rPr>
            </w:pPr>
            <w:r>
              <w:rPr>
                <w:rFonts w:ascii="宋体" w:hAnsi="宋体" w:eastAsia="宋体" w:cs="Times New Roman"/>
                <w:sz w:val="24"/>
                <w:szCs w:val="24"/>
              </w:rPr>
              <w:t xml:space="preserve">  3.</w:t>
            </w:r>
            <w:r>
              <w:rPr>
                <w:rFonts w:hint="eastAsia" w:ascii="宋体" w:hAnsi="宋体" w:eastAsia="宋体" w:cs="Times New Roman"/>
                <w:sz w:val="24"/>
                <w:szCs w:val="24"/>
              </w:rPr>
              <w:t>0</w:t>
            </w:r>
          </w:p>
        </w:tc>
        <w:tc>
          <w:tcPr>
            <w:tcW w:w="1701" w:type="dxa"/>
            <w:tcBorders>
              <w:top w:val="single" w:color="auto" w:sz="4" w:space="0"/>
              <w:left w:val="nil"/>
              <w:bottom w:val="single" w:color="auto" w:sz="4" w:space="0"/>
              <w:right w:val="single" w:color="auto" w:sz="4" w:space="0"/>
            </w:tcBorders>
            <w:noWrap/>
            <w:vAlign w:val="center"/>
          </w:tcPr>
          <w:p w14:paraId="3B2413F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磋商顺序</w:t>
            </w:r>
          </w:p>
        </w:tc>
        <w:tc>
          <w:tcPr>
            <w:tcW w:w="6782" w:type="dxa"/>
            <w:tcBorders>
              <w:top w:val="single" w:color="auto" w:sz="4" w:space="0"/>
              <w:left w:val="nil"/>
              <w:bottom w:val="single" w:color="auto" w:sz="4" w:space="0"/>
              <w:right w:val="single" w:color="auto" w:sz="4" w:space="0"/>
            </w:tcBorders>
            <w:noWrap/>
            <w:vAlign w:val="center"/>
          </w:tcPr>
          <w:p w14:paraId="035361A6">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w:t>
            </w:r>
            <w:r>
              <w:rPr>
                <w:rFonts w:hint="eastAsia" w:ascii="宋体" w:hAnsi="宋体" w:eastAsia="宋体" w:cs="Times New Roman"/>
                <w:sz w:val="24"/>
                <w:szCs w:val="24"/>
              </w:rPr>
              <w:t>电子化磋商</w:t>
            </w:r>
            <w:r>
              <w:rPr>
                <w:rFonts w:hint="eastAsia" w:ascii="宋体" w:hAnsi="宋体" w:eastAsia="宋体" w:cs="Times New Roman"/>
                <w:kern w:val="0"/>
                <w:sz w:val="24"/>
                <w:szCs w:val="24"/>
              </w:rPr>
              <w:t>响应文件上传的时间顺序磋商。</w:t>
            </w:r>
          </w:p>
        </w:tc>
      </w:tr>
      <w:tr w14:paraId="66D6D9AB">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458ECF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113C4BB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磋商小组</w:t>
            </w:r>
          </w:p>
          <w:p w14:paraId="7523449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的组建</w:t>
            </w:r>
          </w:p>
        </w:tc>
        <w:tc>
          <w:tcPr>
            <w:tcW w:w="6782" w:type="dxa"/>
            <w:tcBorders>
              <w:top w:val="single" w:color="auto" w:sz="4" w:space="0"/>
              <w:left w:val="nil"/>
              <w:bottom w:val="single" w:color="auto" w:sz="4" w:space="0"/>
              <w:right w:val="single" w:color="auto" w:sz="4" w:space="0"/>
            </w:tcBorders>
            <w:noWrap/>
            <w:vAlign w:val="center"/>
          </w:tcPr>
          <w:p w14:paraId="1607CE6D">
            <w:pPr>
              <w:spacing w:line="460" w:lineRule="exact"/>
              <w:rPr>
                <w:rFonts w:ascii="宋体" w:hAnsi="宋体" w:eastAsia="宋体" w:cs="Times New Roman"/>
                <w:sz w:val="24"/>
                <w:szCs w:val="24"/>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人代表1人，其余评审专家2人从三门峡市公共资源交易</w:t>
            </w:r>
            <w:r>
              <w:rPr>
                <w:rFonts w:hint="eastAsia" w:ascii="宋体" w:hAnsi="宋体" w:eastAsia="宋体" w:cs="宋体"/>
                <w:kern w:val="44"/>
                <w:sz w:val="24"/>
                <w:szCs w:val="24"/>
                <w:lang w:val="en-US" w:eastAsia="zh-CN"/>
              </w:rPr>
              <w:t>相关</w:t>
            </w:r>
            <w:r>
              <w:rPr>
                <w:rFonts w:hint="eastAsia" w:ascii="宋体" w:hAnsi="宋体" w:eastAsia="宋体" w:cs="宋体"/>
                <w:kern w:val="44"/>
                <w:sz w:val="24"/>
                <w:szCs w:val="24"/>
              </w:rPr>
              <w:t>评标专家库陕州区终端中随机抽取。</w:t>
            </w:r>
          </w:p>
        </w:tc>
      </w:tr>
      <w:tr w14:paraId="7F6DB14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744BBF9">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64ADB29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782" w:type="dxa"/>
            <w:tcBorders>
              <w:top w:val="single" w:color="auto" w:sz="4" w:space="0"/>
              <w:left w:val="nil"/>
              <w:bottom w:val="single" w:color="auto" w:sz="4" w:space="0"/>
              <w:right w:val="single" w:color="auto" w:sz="4" w:space="0"/>
            </w:tcBorders>
            <w:noWrap/>
            <w:vAlign w:val="center"/>
          </w:tcPr>
          <w:p w14:paraId="257F0D88">
            <w:pPr>
              <w:spacing w:line="460" w:lineRule="exact"/>
              <w:rPr>
                <w:rFonts w:ascii="宋体" w:hAnsi="宋体" w:eastAsia="宋体" w:cs="Times New Roman"/>
                <w:sz w:val="24"/>
                <w:szCs w:val="24"/>
              </w:rPr>
            </w:pPr>
            <w:r>
              <w:rPr>
                <w:rFonts w:hint="eastAsia" w:ascii="宋体" w:hAnsi="宋体" w:eastAsia="宋体" w:cs="Times New Roman"/>
                <w:sz w:val="24"/>
                <w:szCs w:val="24"/>
              </w:rPr>
              <w:t>否，按顺序推荐的成交候选供应商：</w:t>
            </w:r>
            <w:r>
              <w:rPr>
                <w:rFonts w:ascii="宋体" w:hAnsi="宋体" w:eastAsia="宋体" w:cs="Times New Roman"/>
                <w:sz w:val="24"/>
                <w:szCs w:val="24"/>
                <w:u w:val="single"/>
              </w:rPr>
              <w:t>3</w:t>
            </w:r>
            <w:r>
              <w:rPr>
                <w:rFonts w:hint="eastAsia" w:ascii="宋体" w:hAnsi="宋体" w:eastAsia="宋体" w:cs="Times New Roman"/>
                <w:sz w:val="24"/>
                <w:szCs w:val="24"/>
                <w:u w:val="single"/>
              </w:rPr>
              <w:t>名。</w:t>
            </w:r>
          </w:p>
        </w:tc>
      </w:tr>
      <w:tr w14:paraId="1C722FA9">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27F80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3</w:t>
            </w:r>
          </w:p>
        </w:tc>
        <w:tc>
          <w:tcPr>
            <w:tcW w:w="1701" w:type="dxa"/>
            <w:tcBorders>
              <w:top w:val="single" w:color="auto" w:sz="4" w:space="0"/>
              <w:left w:val="nil"/>
              <w:bottom w:val="single" w:color="auto" w:sz="4" w:space="0"/>
              <w:right w:val="single" w:color="auto" w:sz="4" w:space="0"/>
            </w:tcBorders>
            <w:noWrap/>
            <w:vAlign w:val="center"/>
          </w:tcPr>
          <w:p w14:paraId="66654FE7">
            <w:pPr>
              <w:keepLines/>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付款方式</w:t>
            </w:r>
          </w:p>
        </w:tc>
        <w:tc>
          <w:tcPr>
            <w:tcW w:w="6782" w:type="dxa"/>
            <w:tcBorders>
              <w:top w:val="single" w:color="auto" w:sz="4" w:space="0"/>
              <w:left w:val="nil"/>
              <w:bottom w:val="single" w:color="auto" w:sz="4" w:space="0"/>
              <w:right w:val="single" w:color="auto" w:sz="4" w:space="0"/>
            </w:tcBorders>
            <w:noWrap/>
            <w:vAlign w:val="center"/>
          </w:tcPr>
          <w:p w14:paraId="707764C4">
            <w:pPr>
              <w:keepLines/>
              <w:spacing w:line="460" w:lineRule="exact"/>
              <w:jc w:val="left"/>
              <w:rPr>
                <w:rFonts w:ascii="宋体" w:hAnsi="宋体" w:eastAsia="宋体" w:cs="Times New Roman"/>
                <w:sz w:val="24"/>
                <w:szCs w:val="24"/>
              </w:rPr>
            </w:pPr>
            <w:r>
              <w:rPr>
                <w:rFonts w:hint="eastAsia" w:ascii="宋体" w:hAnsi="宋体" w:eastAsia="宋体" w:cs="Times New Roman"/>
                <w:kern w:val="0"/>
                <w:sz w:val="24"/>
                <w:szCs w:val="24"/>
              </w:rPr>
              <w:t>按合同执行。</w:t>
            </w:r>
          </w:p>
        </w:tc>
      </w:tr>
      <w:tr w14:paraId="039F1DEE">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8DA706D">
            <w:pPr>
              <w:spacing w:line="460" w:lineRule="exact"/>
              <w:jc w:val="center"/>
              <w:rPr>
                <w:rFonts w:ascii="宋体" w:hAnsi="宋体" w:eastAsia="宋体" w:cs="Times New Roman"/>
                <w:sz w:val="24"/>
                <w:szCs w:val="24"/>
              </w:rPr>
            </w:pPr>
            <w:r>
              <w:rPr>
                <w:rFonts w:ascii="宋体" w:hAnsi="宋体" w:eastAsia="宋体" w:cs="Times New Roman"/>
                <w:sz w:val="24"/>
                <w:szCs w:val="24"/>
              </w:rPr>
              <w:t>3.4</w:t>
            </w:r>
          </w:p>
        </w:tc>
        <w:tc>
          <w:tcPr>
            <w:tcW w:w="1701" w:type="dxa"/>
            <w:tcBorders>
              <w:top w:val="single" w:color="auto" w:sz="4" w:space="0"/>
              <w:left w:val="nil"/>
              <w:bottom w:val="single" w:color="auto" w:sz="4" w:space="0"/>
              <w:right w:val="single" w:color="auto" w:sz="4" w:space="0"/>
            </w:tcBorders>
            <w:noWrap/>
            <w:vAlign w:val="center"/>
          </w:tcPr>
          <w:p w14:paraId="68789C6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招标控制价</w:t>
            </w:r>
          </w:p>
        </w:tc>
        <w:tc>
          <w:tcPr>
            <w:tcW w:w="6782" w:type="dxa"/>
            <w:tcBorders>
              <w:top w:val="single" w:color="auto" w:sz="4" w:space="0"/>
              <w:left w:val="nil"/>
              <w:bottom w:val="single" w:color="auto" w:sz="4" w:space="0"/>
              <w:right w:val="single" w:color="auto" w:sz="4" w:space="0"/>
            </w:tcBorders>
            <w:noWrap/>
            <w:vAlign w:val="center"/>
          </w:tcPr>
          <w:p w14:paraId="15FACC15">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lang w:val="en-US" w:eastAsia="zh-CN"/>
              </w:rPr>
              <w:t>本项目报价方式为总价报价，招标控制价为：1350000元</w:t>
            </w:r>
            <w:r>
              <w:rPr>
                <w:rFonts w:hint="eastAsia" w:ascii="宋体" w:hAnsi="宋体" w:eastAsia="宋体" w:cs="Times New Roman"/>
                <w:sz w:val="24"/>
                <w:szCs w:val="24"/>
              </w:rPr>
              <w:t>，凡磋商响应供应商的磋商报价超出“招标控制价”的，该磋商响应供应商的磋商响应文件应作无效标处理。</w:t>
            </w:r>
          </w:p>
        </w:tc>
      </w:tr>
      <w:tr w14:paraId="4BDE641F">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BD144C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3.5</w:t>
            </w:r>
          </w:p>
        </w:tc>
        <w:tc>
          <w:tcPr>
            <w:tcW w:w="1701" w:type="dxa"/>
            <w:tcBorders>
              <w:top w:val="single" w:color="auto" w:sz="4" w:space="0"/>
              <w:left w:val="nil"/>
              <w:bottom w:val="single" w:color="auto" w:sz="4" w:space="0"/>
              <w:right w:val="single" w:color="auto" w:sz="4" w:space="0"/>
            </w:tcBorders>
            <w:noWrap/>
            <w:vAlign w:val="center"/>
          </w:tcPr>
          <w:p w14:paraId="3686BD9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6782" w:type="dxa"/>
            <w:tcBorders>
              <w:top w:val="single" w:color="auto" w:sz="4" w:space="0"/>
              <w:left w:val="nil"/>
              <w:bottom w:val="single" w:color="auto" w:sz="4" w:space="0"/>
              <w:right w:val="single" w:color="auto" w:sz="4" w:space="0"/>
            </w:tcBorders>
            <w:noWrap/>
            <w:vAlign w:val="center"/>
          </w:tcPr>
          <w:p w14:paraId="5BE6792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1.我单位（采购人）严格按三财购【2021】9号文要求的时限发布中标结果公告，发出中标通知书，签订采购合同，上传采购合同。</w:t>
            </w:r>
          </w:p>
          <w:p w14:paraId="6CCBC4E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2.本项目不收取履约保证金。</w:t>
            </w:r>
          </w:p>
          <w:p w14:paraId="64EB8A4C">
            <w:pPr>
              <w:widowControl/>
              <w:spacing w:line="460" w:lineRule="exact"/>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代理服务费的收取：执行河南省招标投标协会关于印发《河南省招标代理服务收费指导意见》的通知(豫招协[2023]002号)收费标准，招标代理服务费由成交人在领取成交通知书前以银行电汇方式一次性支付给招标代理机构。</w:t>
            </w:r>
          </w:p>
        </w:tc>
      </w:tr>
      <w:tr w14:paraId="7446B3D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8EE67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D694D7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电子化交易</w:t>
            </w:r>
          </w:p>
          <w:p w14:paraId="062E9DBB">
            <w:pPr>
              <w:spacing w:line="460" w:lineRule="exact"/>
              <w:jc w:val="center"/>
              <w:rPr>
                <w:rFonts w:ascii="宋体" w:hAnsi="宋体" w:eastAsia="宋体" w:cs="Times New Roman"/>
                <w:sz w:val="24"/>
                <w:szCs w:val="24"/>
              </w:rPr>
            </w:pPr>
            <w:r>
              <w:rPr>
                <w:rFonts w:hint="eastAsia" w:ascii="宋体" w:hAnsi="宋体" w:eastAsia="宋体" w:cs="Times New Roman"/>
                <w:kern w:val="0"/>
                <w:sz w:val="24"/>
                <w:szCs w:val="24"/>
              </w:rPr>
              <w:t>注意事项</w:t>
            </w:r>
          </w:p>
        </w:tc>
        <w:tc>
          <w:tcPr>
            <w:tcW w:w="6782" w:type="dxa"/>
            <w:tcBorders>
              <w:top w:val="single" w:color="auto" w:sz="4" w:space="0"/>
              <w:left w:val="nil"/>
              <w:bottom w:val="single" w:color="auto" w:sz="4" w:space="0"/>
              <w:right w:val="single" w:color="auto" w:sz="4" w:space="0"/>
            </w:tcBorders>
            <w:noWrap/>
            <w:vAlign w:val="center"/>
          </w:tcPr>
          <w:p w14:paraId="6CA31AA7">
            <w:pPr>
              <w:spacing w:line="360" w:lineRule="auto"/>
              <w:rPr>
                <w:rFonts w:ascii="宋体" w:hAnsi="宋体" w:eastAsia="宋体" w:cs="宋体"/>
                <w:sz w:val="24"/>
                <w:szCs w:val="21"/>
              </w:rPr>
            </w:pPr>
            <w:r>
              <w:rPr>
                <w:rFonts w:hint="eastAsia" w:ascii="宋体" w:hAnsi="宋体" w:eastAsia="宋体" w:cs="宋体"/>
                <w:sz w:val="24"/>
                <w:szCs w:val="21"/>
              </w:rPr>
              <w:t>具体要求：本项目为电子化、无纸化交易项目，磋商响应文件是供应商通过中心磋商响应文件制作系统制作，并经过签章和加密后生成的电子版磋商响应文件。</w:t>
            </w:r>
          </w:p>
          <w:p w14:paraId="34ABE962">
            <w:pPr>
              <w:spacing w:line="360" w:lineRule="auto"/>
              <w:rPr>
                <w:rFonts w:ascii="宋体" w:hAnsi="宋体" w:eastAsia="宋体" w:cs="宋体"/>
                <w:sz w:val="24"/>
                <w:szCs w:val="21"/>
              </w:rPr>
            </w:pPr>
            <w:r>
              <w:rPr>
                <w:rFonts w:hint="eastAsia" w:ascii="宋体" w:hAnsi="宋体" w:eastAsia="宋体" w:cs="宋体"/>
                <w:sz w:val="24"/>
                <w:szCs w:val="21"/>
              </w:rPr>
              <w:t>电子化磋商响应文件具体制作文件请点击</w:t>
            </w:r>
            <w:r>
              <w:rPr>
                <w:rFonts w:ascii="宋体" w:hAnsi="宋体" w:eastAsia="宋体" w:cs="宋体"/>
                <w:color w:val="auto"/>
                <w:sz w:val="24"/>
                <w:szCs w:val="21"/>
                <w:u w:val="none"/>
              </w:rPr>
              <w:t>https://download.bqpoint.com/download/downloaddetail.html?SourceFrom=Ztb&amp;ZtbSoftXiaQuCode=1506&amp;ZtbSoftType=tballinclusive</w:t>
            </w:r>
            <w:r>
              <w:rPr>
                <w:rFonts w:hint="eastAsia" w:ascii="宋体" w:hAnsi="宋体" w:eastAsia="宋体" w:cs="宋体"/>
                <w:sz w:val="24"/>
                <w:szCs w:val="21"/>
              </w:rPr>
              <w:t>进行下载。</w:t>
            </w:r>
          </w:p>
          <w:p w14:paraId="71AD8094">
            <w:pPr>
              <w:spacing w:line="360" w:lineRule="auto"/>
              <w:rPr>
                <w:rFonts w:ascii="宋体" w:hAnsi="宋体" w:eastAsia="宋体" w:cs="宋体"/>
                <w:sz w:val="24"/>
                <w:szCs w:val="21"/>
              </w:rPr>
            </w:pPr>
            <w:r>
              <w:rPr>
                <w:rFonts w:hint="eastAsia" w:ascii="宋体" w:hAnsi="宋体" w:eastAsia="宋体" w:cs="宋体"/>
                <w:b/>
                <w:sz w:val="24"/>
                <w:szCs w:val="21"/>
              </w:rPr>
              <w:t>温馨提示：本项目为电子化、无纸化交易项目，为保证您能投标成功，请需仔细阅读以下条款。</w:t>
            </w:r>
          </w:p>
          <w:p w14:paraId="295F65E9">
            <w:pPr>
              <w:spacing w:line="360" w:lineRule="auto"/>
              <w:rPr>
                <w:rFonts w:ascii="宋体" w:hAnsi="宋体" w:eastAsia="宋体" w:cs="宋体"/>
                <w:b/>
                <w:sz w:val="24"/>
                <w:szCs w:val="21"/>
              </w:rPr>
            </w:pPr>
            <w:r>
              <w:rPr>
                <w:rFonts w:hint="eastAsia" w:ascii="宋体" w:hAnsi="宋体" w:eastAsia="宋体" w:cs="宋体"/>
                <w:b/>
                <w:sz w:val="24"/>
                <w:szCs w:val="21"/>
              </w:rPr>
              <w:t>一、电子化投标</w:t>
            </w:r>
          </w:p>
          <w:p w14:paraId="5F0FEB2C">
            <w:pPr>
              <w:spacing w:line="360" w:lineRule="auto"/>
              <w:rPr>
                <w:rFonts w:ascii="宋体" w:hAnsi="宋体" w:eastAsia="宋体" w:cs="宋体"/>
                <w:b/>
                <w:sz w:val="24"/>
                <w:szCs w:val="21"/>
              </w:rPr>
            </w:pPr>
            <w:r>
              <w:rPr>
                <w:rFonts w:hint="eastAsia" w:ascii="宋体" w:hAnsi="宋体" w:eastAsia="宋体" w:cs="宋体"/>
                <w:sz w:val="24"/>
                <w:szCs w:val="21"/>
              </w:rPr>
              <w:t>（一）网上磋商保证金的缴纳</w:t>
            </w:r>
          </w:p>
          <w:p w14:paraId="4ED9001D">
            <w:pPr>
              <w:spacing w:line="360" w:lineRule="auto"/>
              <w:ind w:firstLine="120" w:firstLineChars="50"/>
              <w:rPr>
                <w:rFonts w:ascii="宋体" w:hAnsi="宋体" w:eastAsia="宋体" w:cs="宋体"/>
                <w:sz w:val="24"/>
                <w:szCs w:val="21"/>
              </w:rPr>
            </w:pPr>
            <w:r>
              <w:rPr>
                <w:rFonts w:hint="eastAsia" w:ascii="宋体" w:hAnsi="宋体" w:eastAsia="宋体" w:cs="Times New Roman"/>
                <w:sz w:val="24"/>
                <w:szCs w:val="24"/>
              </w:rPr>
              <w:t>根据《河南省财政厅关于优化政府采购营商环境有关问题的通知》（豫财购【2019】4号）第6条的规定，磋商保证金不再收取</w:t>
            </w:r>
            <w:r>
              <w:rPr>
                <w:rFonts w:hint="eastAsia" w:ascii="宋体" w:hAnsi="宋体" w:eastAsia="宋体" w:cs="宋体"/>
                <w:sz w:val="24"/>
                <w:szCs w:val="21"/>
              </w:rPr>
              <w:t>。</w:t>
            </w:r>
          </w:p>
          <w:p w14:paraId="31D01E3B">
            <w:pPr>
              <w:spacing w:line="360" w:lineRule="auto"/>
              <w:rPr>
                <w:rFonts w:ascii="宋体" w:hAnsi="宋体" w:eastAsia="宋体" w:cs="宋体"/>
                <w:sz w:val="24"/>
                <w:szCs w:val="21"/>
              </w:rPr>
            </w:pPr>
            <w:r>
              <w:rPr>
                <w:rFonts w:hint="eastAsia" w:ascii="宋体" w:hAnsi="宋体" w:eastAsia="宋体" w:cs="宋体"/>
                <w:sz w:val="24"/>
                <w:szCs w:val="21"/>
              </w:rPr>
              <w:t>（二）电子化磋商响应文件的签章</w:t>
            </w:r>
          </w:p>
          <w:p w14:paraId="1A4E20DD">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1、供应商在生成电子化磋商响应文件后，应对电子化磋商响应文件进行签章，未进行签章的视为无效投标。</w:t>
            </w:r>
          </w:p>
          <w:p w14:paraId="087DDA2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b/>
                <w:sz w:val="24"/>
                <w:szCs w:val="21"/>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rPr>
              <w:t>。</w:t>
            </w:r>
          </w:p>
          <w:p w14:paraId="79180682">
            <w:pPr>
              <w:spacing w:line="360" w:lineRule="auto"/>
              <w:rPr>
                <w:rFonts w:ascii="宋体" w:hAnsi="宋体" w:eastAsia="宋体" w:cs="宋体"/>
                <w:b/>
                <w:sz w:val="24"/>
                <w:szCs w:val="21"/>
              </w:rPr>
            </w:pPr>
            <w:r>
              <w:rPr>
                <w:rFonts w:hint="eastAsia" w:ascii="宋体" w:hAnsi="宋体" w:eastAsia="宋体" w:cs="宋体"/>
                <w:sz w:val="24"/>
                <w:szCs w:val="21"/>
              </w:rPr>
              <w:t>（三）电子化磋商响应文件的格式及上传投标</w:t>
            </w:r>
          </w:p>
          <w:p w14:paraId="178F6977">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2A2CDFAB">
            <w:pPr>
              <w:spacing w:line="360" w:lineRule="auto"/>
              <w:ind w:firstLine="240" w:firstLineChars="100"/>
              <w:rPr>
                <w:rFonts w:ascii="宋体" w:hAnsi="宋体" w:eastAsia="宋体" w:cs="宋体"/>
                <w:sz w:val="24"/>
                <w:szCs w:val="21"/>
              </w:rPr>
            </w:pPr>
            <w:r>
              <w:rPr>
                <w:rFonts w:hint="eastAsia" w:ascii="宋体" w:hAnsi="宋体" w:eastAsia="宋体" w:cs="宋体"/>
                <w:sz w:val="24"/>
                <w:szCs w:val="21"/>
              </w:rPr>
              <w:t>2、电子化磋商响应文件应在投标截止时间前成功上传至三门峡市公共资源电子化交易系统。至投标截止时间止，仍未上传成功的电子化磋商响应文件将不予接收。</w:t>
            </w:r>
          </w:p>
          <w:p w14:paraId="59889D47">
            <w:pPr>
              <w:spacing w:line="360" w:lineRule="auto"/>
              <w:ind w:firstLine="241" w:firstLineChars="100"/>
              <w:rPr>
                <w:rFonts w:ascii="宋体" w:hAnsi="宋体" w:eastAsia="宋体" w:cs="宋体"/>
                <w:sz w:val="24"/>
                <w:szCs w:val="21"/>
              </w:rPr>
            </w:pPr>
            <w:r>
              <w:rPr>
                <w:rFonts w:hint="eastAsia" w:ascii="宋体" w:hAnsi="宋体" w:eastAsia="宋体" w:cs="宋体"/>
                <w:b/>
                <w:sz w:val="24"/>
                <w:szCs w:val="21"/>
              </w:rPr>
              <w:t>注：</w:t>
            </w:r>
            <w:r>
              <w:rPr>
                <w:rFonts w:hint="eastAsia" w:ascii="宋体" w:hAnsi="宋体" w:eastAsia="宋体" w:cs="宋体"/>
                <w:sz w:val="24"/>
                <w:szCs w:val="21"/>
              </w:rPr>
              <w:t>如按照电子化投标操作教材制作完成的电子化磋商响应文件无法上传的，供应商应在</w:t>
            </w:r>
            <w:r>
              <w:rPr>
                <w:rFonts w:hint="eastAsia" w:ascii="宋体" w:hAnsi="宋体" w:eastAsia="宋体" w:cs="宋体"/>
                <w:b/>
                <w:sz w:val="24"/>
                <w:szCs w:val="21"/>
              </w:rPr>
              <w:t>投标截止时间前尽早的</w:t>
            </w:r>
            <w:r>
              <w:rPr>
                <w:rFonts w:hint="eastAsia" w:ascii="宋体" w:hAnsi="宋体" w:eastAsia="宋体" w:cs="宋体"/>
                <w:sz w:val="24"/>
                <w:szCs w:val="21"/>
              </w:rPr>
              <w:t>联系中心技术人员，以便有充分的时间进行处理。</w:t>
            </w:r>
            <w:r>
              <w:rPr>
                <w:rFonts w:hint="eastAsia" w:ascii="宋体" w:hAnsi="宋体" w:eastAsia="宋体" w:cs="宋体"/>
                <w:b/>
                <w:sz w:val="24"/>
                <w:szCs w:val="21"/>
              </w:rPr>
              <w:t>供应商应充分考虑到处理技术问题和上传数据等工作所需的时间问题，磋商响应文件未在投标截止时间前成功上传的，其磋商响应文件不予接收。</w:t>
            </w:r>
          </w:p>
          <w:p w14:paraId="0F1C6128">
            <w:pPr>
              <w:spacing w:line="360" w:lineRule="auto"/>
              <w:rPr>
                <w:rFonts w:ascii="宋体" w:hAnsi="宋体" w:eastAsia="宋体" w:cs="宋体"/>
                <w:sz w:val="24"/>
                <w:szCs w:val="21"/>
              </w:rPr>
            </w:pPr>
            <w:r>
              <w:rPr>
                <w:rFonts w:hint="eastAsia" w:ascii="宋体" w:hAnsi="宋体" w:eastAsia="宋体" w:cs="宋体"/>
                <w:sz w:val="24"/>
                <w:szCs w:val="21"/>
              </w:rPr>
              <w:t>（四）电子化项目开标、解密、唱标、评标</w:t>
            </w:r>
          </w:p>
          <w:p w14:paraId="1517888F">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1、本项目采用</w:t>
            </w:r>
            <w:r>
              <w:rPr>
                <w:rFonts w:hint="eastAsia" w:ascii="宋体" w:hAnsi="宋体" w:eastAsia="宋体" w:cs="宋体"/>
                <w:b/>
                <w:sz w:val="24"/>
                <w:szCs w:val="21"/>
              </w:rPr>
              <w:t>电子化、无纸化</w:t>
            </w:r>
            <w:r>
              <w:rPr>
                <w:rFonts w:hint="eastAsia" w:ascii="宋体" w:hAnsi="宋体" w:eastAsia="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F1832B2">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18D48FF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3、电子化磋商响应文件解密异常的处理</w:t>
            </w:r>
          </w:p>
          <w:p w14:paraId="3FF2841E">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如出现供应商的电子磋商响应文件无法解密等异常情况，供应商应及时致电中介服务机构说明。磋商响应文件异常，按以下步骤进行处理：</w:t>
            </w:r>
          </w:p>
          <w:p w14:paraId="57B9BBB6">
            <w:pPr>
              <w:spacing w:line="360" w:lineRule="auto"/>
              <w:rPr>
                <w:rFonts w:ascii="宋体" w:hAnsi="宋体" w:eastAsia="宋体" w:cs="宋体"/>
                <w:sz w:val="24"/>
                <w:szCs w:val="21"/>
              </w:rPr>
            </w:pPr>
            <w:r>
              <w:rPr>
                <w:rFonts w:hint="eastAsia" w:ascii="宋体" w:hAnsi="宋体" w:eastAsia="宋体" w:cs="宋体"/>
                <w:sz w:val="24"/>
                <w:szCs w:val="21"/>
              </w:rPr>
              <w:t>（1）首先由技术人员进行问题排查。</w:t>
            </w:r>
          </w:p>
          <w:p w14:paraId="2B5447D9">
            <w:pPr>
              <w:spacing w:line="360" w:lineRule="auto"/>
              <w:rPr>
                <w:rFonts w:ascii="宋体" w:hAnsi="宋体" w:eastAsia="宋体" w:cs="宋体"/>
                <w:sz w:val="24"/>
                <w:szCs w:val="21"/>
              </w:rPr>
            </w:pPr>
            <w:r>
              <w:rPr>
                <w:rFonts w:hint="eastAsia" w:ascii="宋体" w:hAnsi="宋体" w:eastAsia="宋体" w:cs="宋体"/>
                <w:sz w:val="24"/>
                <w:szCs w:val="21"/>
              </w:rPr>
              <w:t>（2）经技术人员排查后，是供应商文件自身问题导致磋商响应文件无法解密的，该磋商响应文件将不予接收、解密和唱标。开标会议继续进行。</w:t>
            </w:r>
          </w:p>
          <w:p w14:paraId="2A303C8D">
            <w:pPr>
              <w:spacing w:line="360" w:lineRule="auto"/>
              <w:rPr>
                <w:rFonts w:ascii="宋体" w:hAnsi="宋体" w:eastAsia="宋体" w:cs="宋体"/>
                <w:sz w:val="24"/>
                <w:szCs w:val="21"/>
              </w:rPr>
            </w:pPr>
            <w:r>
              <w:rPr>
                <w:rFonts w:hint="eastAsia" w:ascii="宋体" w:hAnsi="宋体" w:eastAsia="宋体" w:cs="宋体"/>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D5A460B">
            <w:pPr>
              <w:spacing w:line="360" w:lineRule="auto"/>
              <w:rPr>
                <w:rFonts w:ascii="宋体" w:hAnsi="宋体" w:eastAsia="宋体" w:cs="宋体"/>
                <w:sz w:val="24"/>
                <w:szCs w:val="21"/>
              </w:rPr>
            </w:pPr>
            <w:r>
              <w:rPr>
                <w:rFonts w:hint="eastAsia" w:ascii="宋体" w:hAnsi="宋体" w:eastAsia="宋体" w:cs="宋体"/>
                <w:sz w:val="24"/>
                <w:szCs w:val="21"/>
              </w:rPr>
              <w:t>4、待所有供应商磋商响应文件解密完成后，由中介服务机构操作，对所有已解密磋商响应文件进行唱标。</w:t>
            </w:r>
          </w:p>
          <w:p w14:paraId="4E74A651">
            <w:pPr>
              <w:spacing w:line="360" w:lineRule="auto"/>
              <w:rPr>
                <w:rFonts w:ascii="宋体" w:hAnsi="宋体" w:eastAsia="宋体" w:cs="宋体"/>
                <w:sz w:val="24"/>
                <w:szCs w:val="21"/>
              </w:rPr>
            </w:pPr>
            <w:r>
              <w:rPr>
                <w:rFonts w:hint="eastAsia" w:ascii="宋体" w:hAnsi="宋体" w:eastAsia="宋体" w:cs="宋体"/>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30507E10">
            <w:pPr>
              <w:spacing w:line="360" w:lineRule="auto"/>
              <w:rPr>
                <w:rFonts w:ascii="宋体" w:hAnsi="宋体" w:eastAsia="宋体" w:cs="宋体"/>
                <w:sz w:val="24"/>
                <w:szCs w:val="21"/>
              </w:rPr>
            </w:pPr>
            <w:r>
              <w:rPr>
                <w:rFonts w:ascii="宋体" w:hAnsi="宋体" w:eastAsia="宋体" w:cs="宋体"/>
                <w:sz w:val="24"/>
                <w:szCs w:val="21"/>
              </w:rPr>
              <w:t>5</w:t>
            </w:r>
            <w:r>
              <w:rPr>
                <w:rFonts w:hint="eastAsia" w:ascii="宋体" w:hAnsi="宋体" w:eastAsia="宋体" w:cs="宋体"/>
                <w:sz w:val="24"/>
                <w:szCs w:val="21"/>
              </w:rPr>
              <w:t>、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D145B3A">
            <w:pPr>
              <w:spacing w:line="360" w:lineRule="auto"/>
              <w:rPr>
                <w:rFonts w:ascii="宋体" w:hAnsi="宋体" w:eastAsia="宋体" w:cs="宋体"/>
                <w:sz w:val="24"/>
                <w:szCs w:val="21"/>
              </w:rPr>
            </w:pPr>
            <w:r>
              <w:rPr>
                <w:rFonts w:ascii="宋体" w:hAnsi="宋体" w:eastAsia="宋体" w:cs="宋体"/>
                <w:sz w:val="24"/>
                <w:szCs w:val="21"/>
              </w:rPr>
              <w:t>6</w:t>
            </w:r>
            <w:r>
              <w:rPr>
                <w:rFonts w:hint="eastAsia" w:ascii="宋体" w:hAnsi="宋体" w:eastAsia="宋体" w:cs="宋体"/>
                <w:sz w:val="24"/>
                <w:szCs w:val="21"/>
              </w:rPr>
              <w:t>、如评标委员会对需要回复的供应商连续三次致电未接通的，视为供应商放弃回复，评标委员会将自行对需要回复的内容进行认定。</w:t>
            </w:r>
          </w:p>
          <w:p w14:paraId="69B6AB39">
            <w:pPr>
              <w:spacing w:line="360" w:lineRule="auto"/>
              <w:rPr>
                <w:rFonts w:ascii="宋体" w:hAnsi="宋体" w:eastAsia="宋体" w:cs="宋体"/>
                <w:b/>
                <w:bCs/>
                <w:sz w:val="24"/>
                <w:szCs w:val="21"/>
              </w:rPr>
            </w:pPr>
            <w:r>
              <w:rPr>
                <w:rFonts w:hint="eastAsia" w:ascii="宋体" w:hAnsi="宋体" w:eastAsia="宋体" w:cs="宋体"/>
                <w:b/>
                <w:bCs/>
                <w:sz w:val="24"/>
                <w:szCs w:val="21"/>
              </w:rPr>
              <w:t>二、相关证书原件的提交</w:t>
            </w:r>
          </w:p>
          <w:p w14:paraId="1A96A88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本项目实行资格后审，</w:t>
            </w:r>
            <w:r>
              <w:rPr>
                <w:rFonts w:hint="eastAsia" w:ascii="宋体" w:hAnsi="宋体" w:eastAsia="宋体" w:cs="宋体"/>
                <w:b/>
                <w:sz w:val="24"/>
                <w:szCs w:val="21"/>
              </w:rPr>
              <w:t>竞争性磋商文件中要求供应商提交相关资料原件的，供应商需将原件扫描件制作到电子磋商响应文件中，涉及到资格审查、企业荣誉、人员业绩、企业业绩等计分部分时，以投标单位自行上传到响应文件中的相应内容为准。</w:t>
            </w:r>
          </w:p>
          <w:p w14:paraId="3DB6E472">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1、资格评（预）审部分：资格评（预）审以响应文件为准，其上传资料真实性由供应商自行承担。</w:t>
            </w:r>
          </w:p>
          <w:p w14:paraId="257CF326">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2、评标打分部分：评标打分部分仍按照100分制原则进行，涉及到资格审查、企业荣誉、人员业绩、企业业绩等计分部分时，以投标单位自行上传到响应文件中的相应内容为准。</w:t>
            </w:r>
          </w:p>
          <w:p w14:paraId="26121CC0">
            <w:pPr>
              <w:spacing w:line="360" w:lineRule="auto"/>
              <w:rPr>
                <w:rFonts w:ascii="宋体" w:hAnsi="宋体" w:eastAsia="宋体" w:cs="宋体"/>
                <w:kern w:val="1"/>
                <w:sz w:val="24"/>
                <w:szCs w:val="21"/>
              </w:rPr>
            </w:pPr>
            <w:r>
              <w:rPr>
                <w:rFonts w:hint="eastAsia" w:ascii="宋体" w:hAnsi="宋体" w:eastAsia="宋体" w:cs="宋体"/>
                <w:sz w:val="24"/>
                <w:szCs w:val="21"/>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039AE5E1">
            <w:pPr>
              <w:widowControl/>
              <w:spacing w:line="460" w:lineRule="exact"/>
              <w:ind w:firstLine="241" w:firstLineChars="100"/>
              <w:rPr>
                <w:rFonts w:ascii="宋体" w:hAnsi="宋体" w:eastAsia="宋体" w:cs="Times New Roman"/>
                <w:kern w:val="0"/>
                <w:sz w:val="24"/>
                <w:szCs w:val="24"/>
                <w:shd w:val="clear" w:color="auto" w:fill="FFFFFF"/>
              </w:rPr>
            </w:pPr>
            <w:r>
              <w:rPr>
                <w:rFonts w:hint="eastAsia" w:ascii="宋体" w:hAnsi="宋体" w:eastAsia="宋体" w:cs="宋体"/>
                <w:b/>
                <w:sz w:val="24"/>
                <w:szCs w:val="21"/>
              </w:rPr>
              <w:t>提示：本项目为电子化、无纸化交易项目，为保证您能投标成功，请需仔细阅读以上条款。</w:t>
            </w:r>
          </w:p>
        </w:tc>
      </w:tr>
      <w:tr w14:paraId="59B10A8A">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954033">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3.7</w:t>
            </w:r>
          </w:p>
        </w:tc>
        <w:tc>
          <w:tcPr>
            <w:tcW w:w="1701" w:type="dxa"/>
            <w:tcBorders>
              <w:top w:val="single" w:color="auto" w:sz="4" w:space="0"/>
              <w:left w:val="nil"/>
              <w:bottom w:val="single" w:color="auto" w:sz="4" w:space="0"/>
              <w:right w:val="single" w:color="auto" w:sz="4" w:space="0"/>
            </w:tcBorders>
            <w:noWrap/>
            <w:vAlign w:val="center"/>
          </w:tcPr>
          <w:p w14:paraId="4430F3D4">
            <w:pPr>
              <w:spacing w:line="46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政府采购合同融资政策</w:t>
            </w:r>
          </w:p>
        </w:tc>
        <w:tc>
          <w:tcPr>
            <w:tcW w:w="6782" w:type="dxa"/>
            <w:tcBorders>
              <w:top w:val="single" w:color="auto" w:sz="4" w:space="0"/>
              <w:left w:val="nil"/>
              <w:bottom w:val="single" w:color="auto" w:sz="4" w:space="0"/>
              <w:right w:val="single" w:color="auto" w:sz="4" w:space="0"/>
            </w:tcBorders>
            <w:noWrap/>
            <w:vAlign w:val="center"/>
          </w:tcPr>
          <w:p w14:paraId="1DCD149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中标投标人中标后，如需融资，参照《河南省政府采购合同融资工作实施方案》（豫财购〔2017〕10 号）执行。</w:t>
            </w:r>
          </w:p>
        </w:tc>
      </w:tr>
      <w:tr w14:paraId="2EB5A3F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CDC439D">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3.8</w:t>
            </w:r>
          </w:p>
        </w:tc>
        <w:tc>
          <w:tcPr>
            <w:tcW w:w="1701" w:type="dxa"/>
            <w:tcBorders>
              <w:top w:val="single" w:color="auto" w:sz="4" w:space="0"/>
              <w:left w:val="nil"/>
              <w:bottom w:val="single" w:color="auto" w:sz="4" w:space="0"/>
              <w:right w:val="single" w:color="auto" w:sz="4" w:space="0"/>
            </w:tcBorders>
            <w:noWrap/>
            <w:vAlign w:val="center"/>
          </w:tcPr>
          <w:p w14:paraId="6C70DF0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政府采购政策</w:t>
            </w:r>
          </w:p>
        </w:tc>
        <w:tc>
          <w:tcPr>
            <w:tcW w:w="6782" w:type="dxa"/>
            <w:tcBorders>
              <w:top w:val="single" w:color="auto" w:sz="4" w:space="0"/>
              <w:left w:val="nil"/>
              <w:bottom w:val="single" w:color="auto" w:sz="4" w:space="0"/>
              <w:right w:val="single" w:color="auto" w:sz="4" w:space="0"/>
            </w:tcBorders>
            <w:noWrap/>
            <w:vAlign w:val="center"/>
          </w:tcPr>
          <w:p w14:paraId="43EB411B">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人应优先采购“节能产品政府采购清单”中的产品，投标人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投标人优先采用该产品。</w:t>
            </w:r>
          </w:p>
          <w:p w14:paraId="03C99D2A">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2、关于计算机办公设备，必须执行国家版权局、信息产业部、财政部等部门规定，投标人所投货物必须是国家信息部、版权局、商务部等部门认可的预装正版操作系统软件的计算机产品。</w:t>
            </w:r>
          </w:p>
          <w:p w14:paraId="694A2FA2">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3、优先采购本国产品。采购进口产品应符合《中华人民共和国政府采购法》并依法办理论证、公示、审批手续。</w:t>
            </w:r>
          </w:p>
          <w:p w14:paraId="3706CED1">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投标人应优先采购“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投标人优先采用该产品。</w:t>
            </w:r>
          </w:p>
          <w:p w14:paraId="0B1599BF">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p w14:paraId="1C991996">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本项目采购标：属于</w:t>
            </w:r>
            <w:r>
              <w:rPr>
                <w:rFonts w:hint="eastAsia" w:ascii="宋体" w:hAnsi="宋体" w:eastAsia="宋体" w:cs="Times New Roman"/>
                <w:b/>
                <w:bCs/>
                <w:sz w:val="24"/>
                <w:szCs w:val="24"/>
                <w:lang w:val="en-US" w:eastAsia="zh-CN"/>
              </w:rPr>
              <w:t>工业</w:t>
            </w:r>
            <w:r>
              <w:rPr>
                <w:rFonts w:hint="eastAsia" w:ascii="宋体" w:hAnsi="宋体" w:eastAsia="宋体" w:cs="Times New Roman"/>
                <w:sz w:val="24"/>
                <w:szCs w:val="24"/>
                <w:lang w:val="en-US" w:eastAsia="zh-CN"/>
              </w:rPr>
              <w:t>。</w:t>
            </w:r>
          </w:p>
        </w:tc>
      </w:tr>
    </w:tbl>
    <w:p w14:paraId="365ABF7C">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58DC4761">
      <w:pPr>
        <w:widowControl/>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磋商响应供应商须知</w:t>
      </w:r>
    </w:p>
    <w:p w14:paraId="199C7EC8">
      <w:pPr>
        <w:spacing w:line="360" w:lineRule="auto"/>
        <w:ind w:firstLine="318" w:firstLineChars="132"/>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、项目概况</w:t>
      </w:r>
    </w:p>
    <w:p w14:paraId="055D080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1.1采购范围：本项目为三门峡市陕州区主城区照明设施设备更新改造项目（陕州大道段），主要内容是LED灯具采购、单灯控制器采购、灯联网平台建设等及安装、培训、验收、质保期服务、与货物有关的运输和保险及其他伴随服务，具体参数详见竞争性磋商文件第三章。</w:t>
      </w:r>
    </w:p>
    <w:p w14:paraId="5D029BF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1.2资金来源：财政资金，已落实。</w:t>
      </w:r>
    </w:p>
    <w:p w14:paraId="3C2FE6D2">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1.3质 保 期：</w:t>
      </w:r>
      <w:r>
        <w:rPr>
          <w:rFonts w:hint="eastAsia" w:ascii="宋体" w:hAnsi="宋体" w:eastAsia="宋体" w:cs="Times New Roman"/>
          <w:sz w:val="24"/>
          <w:szCs w:val="24"/>
          <w:lang w:val="en-US" w:eastAsia="zh-CN"/>
        </w:rPr>
        <w:t>灯具、单灯控制器质保期3年</w:t>
      </w:r>
      <w:r>
        <w:rPr>
          <w:rFonts w:hint="eastAsia" w:ascii="宋体" w:hAnsi="宋体" w:eastAsia="宋体" w:cs="Times New Roman"/>
          <w:sz w:val="24"/>
          <w:szCs w:val="24"/>
        </w:rPr>
        <w:t>。</w:t>
      </w:r>
    </w:p>
    <w:p w14:paraId="09C0A807">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1.4质量要求：符合国家及行业相关规范和标准。</w:t>
      </w:r>
    </w:p>
    <w:p w14:paraId="51F9AB1E">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1.5交 货 期：</w:t>
      </w:r>
      <w:r>
        <w:rPr>
          <w:rFonts w:hint="eastAsia" w:ascii="宋体" w:hAnsi="宋体" w:eastAsia="宋体" w:cs="Times New Roman"/>
          <w:sz w:val="24"/>
          <w:szCs w:val="24"/>
          <w:lang w:eastAsia="zh-CN"/>
        </w:rPr>
        <w:t>签订合同后30日历天内</w:t>
      </w:r>
      <w:r>
        <w:rPr>
          <w:rFonts w:hint="eastAsia" w:ascii="宋体" w:hAnsi="宋体" w:eastAsia="宋体" w:cs="Times New Roman"/>
          <w:sz w:val="24"/>
          <w:szCs w:val="24"/>
        </w:rPr>
        <w:t>。</w:t>
      </w:r>
    </w:p>
    <w:p w14:paraId="40CDA4D9">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1.6服务期限：平台使用权限3年。</w:t>
      </w:r>
    </w:p>
    <w:p w14:paraId="791DB5B6">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交货地点：采购人指定地点。</w:t>
      </w:r>
    </w:p>
    <w:p w14:paraId="7FAD317F">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、合格的磋商响应供应商</w:t>
      </w:r>
    </w:p>
    <w:p w14:paraId="0C58668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265306E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本项目执行促进中小企业（监狱企业、残疾人福利性企业）发展等政府采购政策</w:t>
      </w:r>
      <w:r>
        <w:rPr>
          <w:rFonts w:hint="eastAsia" w:ascii="宋体" w:hAnsi="宋体" w:eastAsia="宋体" w:cs="Times New Roman"/>
          <w:color w:val="000000"/>
          <w:sz w:val="24"/>
          <w:szCs w:val="24"/>
        </w:rPr>
        <w:t>。</w:t>
      </w:r>
    </w:p>
    <w:p w14:paraId="7AAB67BD">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2EE8F1C1">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r>
        <w:rPr>
          <w:rFonts w:hint="eastAsia" w:ascii="宋体" w:hAnsi="宋体" w:eastAsia="宋体" w:cs="Times New Roman"/>
          <w:sz w:val="24"/>
          <w:szCs w:val="24"/>
        </w:rPr>
        <w:t>；</w:t>
      </w:r>
    </w:p>
    <w:p w14:paraId="2AED08F7">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rPr>
        <w:t>；</w:t>
      </w:r>
    </w:p>
    <w:p w14:paraId="38B97A2D">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636C290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2.3.4本项目不接受联合体投标；</w:t>
      </w:r>
    </w:p>
    <w:p w14:paraId="7E9BD823">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2.3.5本次磋商实行资格后审；</w:t>
      </w:r>
    </w:p>
    <w:p w14:paraId="7A1A3A18">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14:paraId="503C9E3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、费用</w:t>
      </w:r>
    </w:p>
    <w:p w14:paraId="1587D03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磋商响应供应商应自行承担参加磋商活动有关的全部费用，采购人在任何情况下均无义务和责任承担上述费用。</w:t>
      </w:r>
    </w:p>
    <w:p w14:paraId="102518A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、竞争性磋商文件的构成</w:t>
      </w:r>
    </w:p>
    <w:p w14:paraId="007A6BF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第一章  竞争性磋商公告</w:t>
      </w:r>
    </w:p>
    <w:p w14:paraId="61FEEEA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第二章  磋商响应供应商须知及前附表</w:t>
      </w:r>
    </w:p>
    <w:p w14:paraId="032A748A">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第三章  采购内容及要求</w:t>
      </w:r>
    </w:p>
    <w:p w14:paraId="1B41F3E8">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第四章  评审办法</w:t>
      </w:r>
    </w:p>
    <w:p w14:paraId="5FE195B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第五章  合同主要条款及格式</w:t>
      </w:r>
    </w:p>
    <w:p w14:paraId="1534DBE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第六章  电子化响应文件内容及格式</w:t>
      </w:r>
    </w:p>
    <w:p w14:paraId="0FAAE2F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、竞争性磋商文件的澄清</w:t>
      </w:r>
    </w:p>
    <w:p w14:paraId="0759C36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A175E3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5.2</w:t>
      </w:r>
      <w:r>
        <w:rPr>
          <w:rFonts w:hint="eastAsia" w:ascii="宋体" w:hAnsi="宋体" w:eastAsia="宋体" w:cs="Times New Roman"/>
          <w:sz w:val="24"/>
          <w:szCs w:val="24"/>
        </w:rPr>
        <w:t>采购人将视情况在认为必要时于采购截止时间前答疑。</w:t>
      </w:r>
    </w:p>
    <w:p w14:paraId="798902D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、竞争性磋商文件的修改</w:t>
      </w:r>
    </w:p>
    <w:p w14:paraId="41A6E18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6.1</w:t>
      </w:r>
      <w:r>
        <w:rPr>
          <w:rFonts w:hint="eastAsia" w:ascii="宋体" w:hAnsi="宋体" w:eastAsia="宋体" w:cs="Times New Roman"/>
          <w:sz w:val="24"/>
          <w:szCs w:val="24"/>
        </w:rPr>
        <w:t>竞争性磋商文件的修改书将构成磋商响应文件的一部分，对所有磋商响应供应商均有约束力。</w:t>
      </w:r>
    </w:p>
    <w:p w14:paraId="0B3A1E4D">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7</w:t>
      </w:r>
      <w:r>
        <w:rPr>
          <w:rFonts w:hint="eastAsia" w:ascii="宋体" w:hAnsi="宋体" w:eastAsia="宋体" w:cs="Times New Roman"/>
          <w:b/>
          <w:bCs/>
          <w:sz w:val="24"/>
          <w:szCs w:val="24"/>
        </w:rPr>
        <w:t>、要求</w:t>
      </w:r>
    </w:p>
    <w:p w14:paraId="2CF5937D">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7.1</w:t>
      </w:r>
      <w:r>
        <w:rPr>
          <w:rFonts w:hint="eastAsia" w:ascii="宋体" w:hAnsi="宋体" w:eastAsia="宋体" w:cs="Times New Roman"/>
          <w:sz w:val="24"/>
          <w:szCs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40AABBF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8</w:t>
      </w:r>
      <w:r>
        <w:rPr>
          <w:rFonts w:hint="eastAsia" w:ascii="宋体" w:hAnsi="宋体" w:eastAsia="宋体" w:cs="Times New Roman"/>
          <w:b/>
          <w:bCs/>
          <w:sz w:val="24"/>
          <w:szCs w:val="24"/>
        </w:rPr>
        <w:t>、电子化磋商响应文件的组成</w:t>
      </w:r>
    </w:p>
    <w:p w14:paraId="68538D75">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w:t>
      </w:r>
      <w:r>
        <w:rPr>
          <w:rFonts w:hint="eastAsia" w:ascii="宋体" w:hAnsi="宋体" w:eastAsia="宋体" w:cs="Times New Roman"/>
          <w:sz w:val="24"/>
          <w:szCs w:val="24"/>
        </w:rPr>
        <w:t>综合标</w:t>
      </w:r>
    </w:p>
    <w:p w14:paraId="4DED254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8.1.1</w:t>
      </w:r>
      <w:r>
        <w:rPr>
          <w:rFonts w:hint="eastAsia" w:ascii="宋体" w:hAnsi="宋体" w:eastAsia="宋体" w:cs="Times New Roman"/>
          <w:sz w:val="24"/>
          <w:szCs w:val="24"/>
        </w:rPr>
        <w:t>法定代表人身份证明书</w:t>
      </w:r>
    </w:p>
    <w:p w14:paraId="4461956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8.1.2</w:t>
      </w:r>
      <w:r>
        <w:rPr>
          <w:rFonts w:hint="eastAsia" w:ascii="宋体" w:hAnsi="宋体" w:eastAsia="宋体" w:cs="Times New Roman"/>
          <w:sz w:val="24"/>
          <w:szCs w:val="24"/>
        </w:rPr>
        <w:t>磋商响应函</w:t>
      </w:r>
    </w:p>
    <w:p w14:paraId="71B14E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8.1.3</w:t>
      </w:r>
      <w:r>
        <w:rPr>
          <w:rFonts w:hint="eastAsia" w:ascii="宋体" w:hAnsi="宋体" w:eastAsia="宋体" w:cs="Times New Roman"/>
          <w:sz w:val="24"/>
          <w:szCs w:val="24"/>
        </w:rPr>
        <w:t>首次报价一览表</w:t>
      </w:r>
    </w:p>
    <w:p w14:paraId="4E8AF9C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8.1.4</w:t>
      </w:r>
      <w:r>
        <w:rPr>
          <w:rFonts w:hint="eastAsia" w:ascii="宋体" w:hAnsi="宋体" w:eastAsia="宋体" w:cs="Times New Roman"/>
          <w:sz w:val="24"/>
          <w:szCs w:val="24"/>
        </w:rPr>
        <w:t>资格审查资料</w:t>
      </w:r>
    </w:p>
    <w:p w14:paraId="6DA928C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8.1.5</w:t>
      </w:r>
      <w:r>
        <w:rPr>
          <w:rFonts w:hint="eastAsia" w:ascii="宋体" w:hAnsi="宋体" w:eastAsia="宋体" w:cs="Times New Roman"/>
          <w:sz w:val="24"/>
          <w:szCs w:val="24"/>
        </w:rPr>
        <w:t>中小微企业声明函</w:t>
      </w:r>
    </w:p>
    <w:p w14:paraId="2A54954F">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8.1.6</w:t>
      </w:r>
      <w:r>
        <w:rPr>
          <w:rFonts w:hint="eastAsia" w:ascii="宋体" w:hAnsi="宋体" w:eastAsia="宋体" w:cs="Times New Roman"/>
          <w:bCs/>
          <w:kern w:val="0"/>
          <w:sz w:val="24"/>
          <w:szCs w:val="24"/>
        </w:rPr>
        <w:t>残疾人福利性单位声明函</w:t>
      </w:r>
    </w:p>
    <w:p w14:paraId="0A86EAA5">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w:t>
      </w:r>
      <w:r>
        <w:rPr>
          <w:rFonts w:ascii="宋体" w:hAnsi="宋体" w:eastAsia="宋体" w:cs="Times New Roman"/>
          <w:b/>
          <w:bCs/>
          <w:kern w:val="0"/>
          <w:sz w:val="24"/>
          <w:szCs w:val="24"/>
        </w:rPr>
        <w:t>.1.7</w:t>
      </w:r>
      <w:r>
        <w:rPr>
          <w:rFonts w:hint="eastAsia" w:ascii="宋体" w:hAnsi="宋体" w:eastAsia="宋体" w:cs="Times New Roman"/>
          <w:bCs/>
          <w:kern w:val="0"/>
          <w:sz w:val="24"/>
          <w:szCs w:val="24"/>
        </w:rPr>
        <w:t>监狱企业证明文件</w:t>
      </w:r>
    </w:p>
    <w:p w14:paraId="5CD2EB24">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kern w:val="0"/>
          <w:sz w:val="24"/>
          <w:szCs w:val="24"/>
        </w:rPr>
        <w:t>8.1.8</w:t>
      </w:r>
      <w:r>
        <w:rPr>
          <w:rFonts w:hint="eastAsia" w:ascii="宋体" w:hAnsi="宋体" w:eastAsia="宋体" w:cs="Times New Roman"/>
          <w:kern w:val="0"/>
          <w:sz w:val="24"/>
          <w:szCs w:val="24"/>
        </w:rPr>
        <w:t>人员培训及售后服务承诺</w:t>
      </w:r>
    </w:p>
    <w:p w14:paraId="7D69CB05">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bCs/>
          <w:kern w:val="0"/>
          <w:sz w:val="24"/>
          <w:szCs w:val="24"/>
        </w:rPr>
        <w:t>8.2</w:t>
      </w:r>
      <w:r>
        <w:rPr>
          <w:rFonts w:hint="eastAsia" w:ascii="宋体" w:hAnsi="宋体" w:eastAsia="宋体" w:cs="Times New Roman"/>
          <w:kern w:val="0"/>
          <w:sz w:val="24"/>
          <w:szCs w:val="24"/>
        </w:rPr>
        <w:t>技术标</w:t>
      </w:r>
    </w:p>
    <w:p w14:paraId="7A42AC8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8.2.1</w:t>
      </w:r>
      <w:r>
        <w:rPr>
          <w:rFonts w:hint="eastAsia" w:ascii="宋体" w:hAnsi="宋体" w:eastAsia="宋体" w:cs="Times New Roman"/>
          <w:sz w:val="24"/>
          <w:szCs w:val="24"/>
        </w:rPr>
        <w:t>磋商设备合格文件</w:t>
      </w:r>
    </w:p>
    <w:p w14:paraId="21ED67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8.2.2</w:t>
      </w:r>
      <w:r>
        <w:rPr>
          <w:rFonts w:hint="eastAsia" w:ascii="宋体" w:hAnsi="宋体" w:eastAsia="宋体" w:cs="Times New Roman"/>
          <w:sz w:val="24"/>
          <w:szCs w:val="24"/>
        </w:rPr>
        <w:t>磋商报价表：</w:t>
      </w:r>
    </w:p>
    <w:p w14:paraId="2C0305A2">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1）磋商报价明细表；</w:t>
      </w:r>
    </w:p>
    <w:p w14:paraId="655B33DA">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2）技术参数偏离表；</w:t>
      </w:r>
    </w:p>
    <w:p w14:paraId="31FBB9B6">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3）商务响应表；</w:t>
      </w:r>
    </w:p>
    <w:p w14:paraId="302BDD6A">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8.2.3</w:t>
      </w:r>
      <w:r>
        <w:rPr>
          <w:rFonts w:hint="eastAsia" w:ascii="宋体" w:hAnsi="宋体" w:eastAsia="宋体" w:cs="Times New Roman"/>
          <w:sz w:val="24"/>
          <w:szCs w:val="24"/>
        </w:rPr>
        <w:t>磋商响应供应商可提交的其他磋商资料</w:t>
      </w:r>
    </w:p>
    <w:p w14:paraId="408C901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、电子化磋商响应文件的格式</w:t>
      </w:r>
    </w:p>
    <w:p w14:paraId="5DB0A2F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C343B39">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、电子化磋商响应文件的签署</w:t>
      </w:r>
    </w:p>
    <w:p w14:paraId="444B70A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10.1</w:t>
      </w: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磋商响应供应商在进行电子化磋商响应文件签章时，竞争性磋商文件中要求磋商响应供应商盖章的，以签盖单位章为准；要求法定代表人或授权代理人签章的，以签盖法定代表人签章为准。</w:t>
      </w:r>
    </w:p>
    <w:p w14:paraId="09FBD96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w:t>
      </w:r>
      <w:r>
        <w:rPr>
          <w:rFonts w:hint="eastAsia" w:ascii="宋体" w:hAnsi="宋体" w:eastAsia="宋体" w:cs="Times New Roman"/>
          <w:b/>
          <w:bCs/>
          <w:sz w:val="24"/>
          <w:szCs w:val="24"/>
        </w:rPr>
        <w:t>、电子化磋商响应文件的上传</w:t>
      </w:r>
    </w:p>
    <w:p w14:paraId="08EED2F0">
      <w:pPr>
        <w:spacing w:line="360" w:lineRule="auto"/>
        <w:ind w:firstLine="422" w:firstLineChars="176"/>
        <w:jc w:val="left"/>
        <w:rPr>
          <w:rFonts w:ascii="宋体" w:hAnsi="宋体" w:eastAsia="宋体" w:cs="Times New Roman"/>
          <w:kern w:val="0"/>
          <w:sz w:val="24"/>
          <w:szCs w:val="24"/>
        </w:rPr>
      </w:pPr>
      <w:r>
        <w:rPr>
          <w:rFonts w:ascii="宋体" w:hAnsi="宋体" w:eastAsia="宋体" w:cs="Times New Roman"/>
          <w:sz w:val="24"/>
          <w:szCs w:val="24"/>
        </w:rPr>
        <w:t>11.1</w:t>
      </w:r>
      <w:r>
        <w:rPr>
          <w:rFonts w:hint="eastAsia" w:ascii="宋体" w:hAnsi="宋体" w:eastAsia="宋体" w:cs="Times New Roman"/>
          <w:kern w:val="0"/>
          <w:sz w:val="24"/>
          <w:szCs w:val="24"/>
        </w:rPr>
        <w:t>电子化磋商响应文件应在投标截止时间前成功上传至三门峡市公共资源电子化交易系统。至投标截止时间止，仍未上传成功的电子化磋商响应文件将不予接收。</w:t>
      </w:r>
    </w:p>
    <w:p w14:paraId="0E0F815A">
      <w:pPr>
        <w:spacing w:line="360" w:lineRule="auto"/>
        <w:ind w:firstLine="422" w:firstLineChars="176"/>
        <w:jc w:val="lef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14C5153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w:t>
      </w:r>
      <w:r>
        <w:rPr>
          <w:rFonts w:hint="eastAsia" w:ascii="宋体" w:hAnsi="宋体" w:eastAsia="宋体" w:cs="Times New Roman"/>
          <w:b/>
          <w:bCs/>
          <w:sz w:val="24"/>
          <w:szCs w:val="24"/>
        </w:rPr>
        <w:t>、磋商截止时间</w:t>
      </w:r>
    </w:p>
    <w:p w14:paraId="40FBE4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w:t>
      </w:r>
      <w:r>
        <w:rPr>
          <w:rFonts w:hint="eastAsia" w:ascii="宋体" w:hAnsi="宋体" w:eastAsia="宋体" w:cs="Times New Roman"/>
          <w:sz w:val="24"/>
          <w:szCs w:val="24"/>
        </w:rPr>
        <w:t>电子化磋商响应文件的截止时间见本须知前附表规定。</w:t>
      </w:r>
    </w:p>
    <w:p w14:paraId="695210E4">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b/>
          <w:bCs/>
          <w:sz w:val="24"/>
          <w:szCs w:val="24"/>
        </w:rPr>
        <w:t>、电子化磋商响应文件的补充、修改与撤回</w:t>
      </w:r>
    </w:p>
    <w:p w14:paraId="43BEFF1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w:t>
      </w:r>
      <w:r>
        <w:rPr>
          <w:rFonts w:hint="eastAsia" w:ascii="宋体" w:hAnsi="宋体" w:eastAsia="宋体" w:cs="Times New Roman"/>
          <w:sz w:val="24"/>
          <w:szCs w:val="24"/>
        </w:rPr>
        <w:t>在磋商截止时间之后，磋商响应供应商不得补充、修改电子化磋商响应文件。</w:t>
      </w:r>
    </w:p>
    <w:p w14:paraId="6F23A4D8">
      <w:pPr>
        <w:spacing w:line="360" w:lineRule="auto"/>
        <w:ind w:firstLine="424" w:firstLineChars="176"/>
        <w:rPr>
          <w:rFonts w:ascii="宋体" w:hAnsi="宋体" w:eastAsia="宋体" w:cs="Times New Roman"/>
          <w:szCs w:val="21"/>
        </w:rPr>
      </w:pPr>
      <w:r>
        <w:rPr>
          <w:rFonts w:hint="eastAsia" w:ascii="宋体" w:hAnsi="宋体" w:eastAsia="宋体" w:cs="Times New Roman"/>
          <w:b/>
          <w:bCs/>
          <w:sz w:val="24"/>
          <w:szCs w:val="24"/>
        </w:rPr>
        <w:t>14、磋商报价</w:t>
      </w:r>
      <w:r>
        <w:rPr>
          <w:rFonts w:ascii="宋体" w:hAnsi="宋体" w:eastAsia="宋体" w:cs="Times New Roman"/>
          <w:b/>
          <w:bCs/>
          <w:sz w:val="24"/>
          <w:szCs w:val="24"/>
        </w:rPr>
        <w:tab/>
      </w:r>
    </w:p>
    <w:p w14:paraId="2BD7E984">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14.1</w:t>
      </w:r>
      <w:r>
        <w:rPr>
          <w:rFonts w:hint="eastAsia" w:ascii="宋体" w:hAnsi="宋体" w:eastAsia="宋体" w:cs="Times New Roman"/>
          <w:sz w:val="24"/>
          <w:szCs w:val="24"/>
        </w:rPr>
        <w:t>本次磋商采购的均须以人民币为计算单位。</w:t>
      </w:r>
    </w:p>
    <w:p w14:paraId="1D673450">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14.2</w:t>
      </w:r>
      <w:r>
        <w:rPr>
          <w:rFonts w:hint="eastAsia" w:ascii="宋体" w:hAnsi="宋体" w:eastAsia="宋体" w:cs="Times New Roman"/>
          <w:sz w:val="24"/>
          <w:szCs w:val="24"/>
        </w:rPr>
        <w:t>磋商响应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31FE236D">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rPr>
        <w:t>磋商响应供应商应充分考虑市场风险和国家政策性风险系数，根据企业具体情况在合理的范围内自主报价，但不得低于企业实际成本。</w:t>
      </w:r>
    </w:p>
    <w:p w14:paraId="445F6EA6">
      <w:pPr>
        <w:spacing w:after="120" w:line="360" w:lineRule="auto"/>
        <w:ind w:firstLine="422" w:firstLineChars="176"/>
        <w:rPr>
          <w:rFonts w:ascii="宋体" w:hAnsi="宋体" w:eastAsia="宋体" w:cs="Times New Roman"/>
          <w:kern w:val="0"/>
          <w:sz w:val="24"/>
          <w:szCs w:val="24"/>
        </w:rPr>
      </w:pPr>
      <w:r>
        <w:rPr>
          <w:rFonts w:ascii="宋体" w:hAnsi="宋体" w:eastAsia="宋体" w:cs="Times New Roman"/>
          <w:kern w:val="0"/>
          <w:sz w:val="24"/>
          <w:szCs w:val="24"/>
        </w:rPr>
        <w:t>14.4</w:t>
      </w:r>
      <w:r>
        <w:rPr>
          <w:rFonts w:hint="eastAsia" w:ascii="宋体" w:hAnsi="宋体" w:eastAsia="宋体" w:cs="Times New Roman"/>
          <w:kern w:val="0"/>
          <w:sz w:val="24"/>
          <w:szCs w:val="24"/>
        </w:rPr>
        <w:t>磋商响应供应商只能提出一个报价，采购人不接受任何有选择的报价，最后报价不得超过项目招标控制价。</w:t>
      </w:r>
    </w:p>
    <w:p w14:paraId="431F85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14.5</w:t>
      </w:r>
      <w:r>
        <w:rPr>
          <w:rFonts w:hint="eastAsia" w:ascii="宋体" w:hAnsi="宋体" w:eastAsia="宋体" w:cs="Times New Roman"/>
          <w:sz w:val="24"/>
          <w:szCs w:val="24"/>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66BD24E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14.6</w:t>
      </w:r>
      <w:r>
        <w:rPr>
          <w:rFonts w:hint="eastAsia" w:ascii="宋体" w:hAnsi="宋体" w:eastAsia="宋体" w:cs="Times New Roman"/>
          <w:sz w:val="24"/>
          <w:szCs w:val="24"/>
        </w:rPr>
        <w:t>本次采购为竞争性磋商采购，允许二次报价。</w:t>
      </w:r>
    </w:p>
    <w:p w14:paraId="7682CDD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15</w:t>
      </w:r>
      <w:r>
        <w:rPr>
          <w:rFonts w:hint="eastAsia" w:ascii="宋体" w:hAnsi="宋体" w:eastAsia="宋体" w:cs="Times New Roman"/>
          <w:b/>
          <w:bCs/>
          <w:sz w:val="24"/>
          <w:szCs w:val="24"/>
        </w:rPr>
        <w:t>、磋商响应供应商资格的证明文件</w:t>
      </w:r>
      <w:r>
        <w:rPr>
          <w:rFonts w:ascii="宋体" w:hAnsi="宋体" w:eastAsia="宋体" w:cs="Times New Roman"/>
          <w:b/>
          <w:bCs/>
          <w:sz w:val="24"/>
          <w:szCs w:val="24"/>
        </w:rPr>
        <w:tab/>
      </w:r>
    </w:p>
    <w:p w14:paraId="6BA2B13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15.1</w:t>
      </w:r>
      <w:r>
        <w:rPr>
          <w:rFonts w:hint="eastAsia" w:ascii="宋体" w:hAnsi="宋体" w:eastAsia="宋体" w:cs="Times New Roman"/>
          <w:sz w:val="24"/>
          <w:szCs w:val="24"/>
        </w:rPr>
        <w:t>证明磋商响应供应商是有资格参加</w:t>
      </w:r>
      <w:r>
        <w:rPr>
          <w:rFonts w:hint="eastAsia" w:ascii="宋体" w:hAnsi="宋体" w:eastAsia="宋体" w:cs="Times New Roman"/>
          <w:kern w:val="0"/>
          <w:sz w:val="24"/>
          <w:szCs w:val="24"/>
        </w:rPr>
        <w:t>磋商</w:t>
      </w:r>
      <w:r>
        <w:rPr>
          <w:rFonts w:hint="eastAsia" w:ascii="宋体" w:hAnsi="宋体" w:eastAsia="宋体" w:cs="Times New Roman"/>
          <w:sz w:val="24"/>
          <w:szCs w:val="24"/>
        </w:rPr>
        <w:t>的。</w:t>
      </w:r>
    </w:p>
    <w:p w14:paraId="701D96B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15.2</w:t>
      </w:r>
      <w:r>
        <w:rPr>
          <w:rFonts w:hint="eastAsia" w:ascii="宋体" w:hAnsi="宋体" w:eastAsia="宋体" w:cs="Times New Roman"/>
          <w:sz w:val="24"/>
          <w:szCs w:val="24"/>
        </w:rPr>
        <w:t>证明磋商响应供应商有能力履行竞争性磋商文件中合同条款和技术要求规定的由磋商响应供应商提供的服务等义务。</w:t>
      </w:r>
    </w:p>
    <w:p w14:paraId="1D6D681F">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16、磋商响应文件有效期</w:t>
      </w:r>
    </w:p>
    <w:p w14:paraId="3899AE5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响应性文件从首次递交竞争性磋商响应文件截止时间之日起开始生效，磋商有效期为</w:t>
      </w:r>
      <w:r>
        <w:rPr>
          <w:rFonts w:ascii="宋体" w:hAnsi="宋体" w:eastAsia="宋体" w:cs="Times New Roman"/>
          <w:sz w:val="24"/>
          <w:szCs w:val="24"/>
        </w:rPr>
        <w:t>60</w:t>
      </w:r>
      <w:r>
        <w:rPr>
          <w:rFonts w:hint="eastAsia" w:ascii="宋体" w:hAnsi="宋体" w:eastAsia="宋体" w:cs="Times New Roman"/>
          <w:sz w:val="24"/>
          <w:szCs w:val="24"/>
        </w:rPr>
        <w:t>日历天，有效期短于此规定的响应文件将被视为无效文件。</w:t>
      </w:r>
    </w:p>
    <w:p w14:paraId="24CCAA0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.2</w:t>
      </w:r>
      <w:r>
        <w:rPr>
          <w:rFonts w:hint="eastAsia" w:ascii="宋体" w:hAnsi="宋体" w:eastAsia="宋体" w:cs="Times New Roman"/>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C5A048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7、磋商</w:t>
      </w:r>
    </w:p>
    <w:p w14:paraId="74CE327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74E0D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3BB0F67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17.3 电子化磋商响应文件解密异常的处理</w:t>
      </w:r>
    </w:p>
    <w:p w14:paraId="52D5AD9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如出现供应商的电子磋商响应文件无法解密等异常情况，供应商应及时致电中介服务机构说明。磋商响应文件异常，按以下步骤进行处理：</w:t>
      </w:r>
    </w:p>
    <w:p w14:paraId="4E1EBB9B">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14:paraId="1EFECC3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（2）经技术人员排查后，是供应商文件自身问题导致磋商响应文件无法解密的，该磋商响应文件将不予接收、解密和唱标。开标会议继续进行。</w:t>
      </w:r>
    </w:p>
    <w:p w14:paraId="10BC74B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EC527D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17.4 待所有供应商磋商响应文件解密完成后，由中介服务机构操作，对所有已解密磋商响应文件进行唱标。</w:t>
      </w:r>
    </w:p>
    <w:p w14:paraId="6EED03D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供应商应保证在开标期间电话、电脑、网络能够正常工作，供应商因停电、电脑病毒、网络堵塞等原因，未在规定的解密时间内对磋商响应文件进行解密的，其磋商响应文件不予接收、唱标。</w:t>
      </w:r>
    </w:p>
    <w:p w14:paraId="57F80E5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326677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8、磋商小组</w:t>
      </w:r>
    </w:p>
    <w:p w14:paraId="75AE277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磋商小组由</w:t>
      </w:r>
      <w:r>
        <w:rPr>
          <w:rFonts w:ascii="宋体" w:hAnsi="宋体" w:eastAsia="宋体" w:cs="Times New Roman"/>
          <w:sz w:val="24"/>
          <w:szCs w:val="24"/>
        </w:rPr>
        <w:t>3</w:t>
      </w:r>
      <w:r>
        <w:rPr>
          <w:rFonts w:hint="eastAsia" w:ascii="宋体" w:hAnsi="宋体" w:eastAsia="宋体" w:cs="Times New Roman"/>
          <w:sz w:val="24"/>
          <w:szCs w:val="24"/>
        </w:rPr>
        <w:t>人构成：采购人代表</w:t>
      </w:r>
      <w:r>
        <w:rPr>
          <w:rFonts w:ascii="宋体" w:hAnsi="宋体" w:eastAsia="宋体" w:cs="Times New Roman"/>
          <w:sz w:val="24"/>
          <w:szCs w:val="24"/>
        </w:rPr>
        <w:t>1</w:t>
      </w:r>
      <w:r>
        <w:rPr>
          <w:rFonts w:hint="eastAsia" w:ascii="宋体" w:hAnsi="宋体" w:eastAsia="宋体" w:cs="Times New Roman"/>
          <w:sz w:val="24"/>
          <w:szCs w:val="24"/>
        </w:rPr>
        <w:t>人，其他专家</w:t>
      </w:r>
      <w:r>
        <w:rPr>
          <w:rFonts w:ascii="宋体" w:hAnsi="宋体" w:eastAsia="宋体" w:cs="Times New Roman"/>
          <w:sz w:val="24"/>
          <w:szCs w:val="24"/>
        </w:rPr>
        <w:t>2</w:t>
      </w:r>
      <w:r>
        <w:rPr>
          <w:rFonts w:hint="eastAsia" w:ascii="宋体" w:hAnsi="宋体" w:eastAsia="宋体" w:cs="Times New Roman"/>
          <w:sz w:val="24"/>
          <w:szCs w:val="24"/>
        </w:rPr>
        <w:t>人，在磋商会议开始前从河南省政府采购评审专家库中随机抽取。</w:t>
      </w:r>
    </w:p>
    <w:p w14:paraId="732EEE3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磋商小组对所有磋商响应供应商的磋商响应文件进行评审，按评审后得分由高到低顺序排列，递交给采购人。</w:t>
      </w:r>
    </w:p>
    <w:p w14:paraId="5249FF9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3AA44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.4</w:t>
      </w:r>
      <w:r>
        <w:rPr>
          <w:rFonts w:hint="eastAsia" w:ascii="宋体" w:hAnsi="宋体" w:eastAsia="宋体" w:cs="Times New Roman"/>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5888999E">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19、磋商程序</w:t>
      </w:r>
    </w:p>
    <w:p w14:paraId="33757FD6">
      <w:pPr>
        <w:spacing w:line="360" w:lineRule="auto"/>
        <w:ind w:firstLine="422" w:firstLineChars="176"/>
        <w:rPr>
          <w:rFonts w:ascii="宋体" w:hAnsi="宋体" w:eastAsia="宋体" w:cs="Times New Roman"/>
          <w:b/>
          <w:bCs/>
          <w:sz w:val="24"/>
          <w:szCs w:val="24"/>
        </w:rPr>
      </w:pPr>
      <w:r>
        <w:rPr>
          <w:rFonts w:hint="eastAsia" w:ascii="宋体" w:hAnsi="宋体" w:eastAsia="宋体" w:cs="Times New Roman"/>
          <w:sz w:val="24"/>
          <w:szCs w:val="24"/>
        </w:rPr>
        <w:t>19</w:t>
      </w:r>
      <w:r>
        <w:rPr>
          <w:rFonts w:ascii="宋体" w:hAnsi="宋体" w:eastAsia="宋体" w:cs="Times New Roman"/>
          <w:sz w:val="24"/>
          <w:szCs w:val="24"/>
        </w:rPr>
        <w:t>.1</w:t>
      </w:r>
      <w:r>
        <w:rPr>
          <w:rFonts w:hint="eastAsia" w:ascii="宋体" w:hAnsi="宋体" w:eastAsia="宋体" w:cs="Times New Roman"/>
          <w:sz w:val="24"/>
          <w:szCs w:val="24"/>
        </w:rPr>
        <w:t>磋商小组所有成员集中评审磋商响应文件及集中与磋商响应供应商分别进行磋商。</w:t>
      </w:r>
    </w:p>
    <w:p w14:paraId="2C8DB10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磋商小组首先对所有磋商响应文件进行资格性和符合性审查。资格性审查是指：磋商小组按照竞争性磋商文件第二章磋商磋商响应供应商须知前附表第</w:t>
      </w:r>
      <w:r>
        <w:rPr>
          <w:rFonts w:ascii="宋体" w:hAnsi="宋体" w:eastAsia="宋体" w:cs="Times New Roman"/>
          <w:sz w:val="24"/>
          <w:szCs w:val="24"/>
        </w:rPr>
        <w:t>2.</w:t>
      </w:r>
      <w:r>
        <w:rPr>
          <w:rFonts w:hint="eastAsia" w:ascii="宋体" w:hAnsi="宋体" w:eastAsia="宋体" w:cs="Times New Roman"/>
          <w:sz w:val="24"/>
          <w:szCs w:val="24"/>
        </w:rPr>
        <w:t>1项的要求，对磋商响应供应商进行审查，有一项不符合的，视为未通过资格审查，不得进入下一评审过程。符合性审查是指：磋商小组按照竞争性磋商文件本须知19</w:t>
      </w:r>
      <w:r>
        <w:rPr>
          <w:rFonts w:ascii="宋体" w:hAnsi="宋体" w:eastAsia="宋体" w:cs="Times New Roman"/>
          <w:sz w:val="24"/>
          <w:szCs w:val="24"/>
        </w:rPr>
        <w:t>.3</w:t>
      </w:r>
      <w:r>
        <w:rPr>
          <w:rFonts w:hint="eastAsia" w:ascii="宋体" w:hAnsi="宋体" w:eastAsia="宋体" w:cs="Times New Roman"/>
          <w:sz w:val="24"/>
          <w:szCs w:val="24"/>
        </w:rPr>
        <w:t>条的要求，对磋商响应供应商进行审查，有一项不符合的，视为未通过符合性审查。未通过资格性和符合性审查的磋商响应文件按无效响应处理，磋商小组应当告知提交磋商响应文件的磋商响应供应商。</w:t>
      </w:r>
    </w:p>
    <w:p w14:paraId="2CA0CBA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1磋商小组判断磋商响应文件的响应性仅基于磋商响应文件本身内容而不靠外部证据。</w:t>
      </w:r>
    </w:p>
    <w:p w14:paraId="5794AA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2实质性未响应磋商文件要求的响应将被拒绝，磋商响应供应商不得通过修正或撤消不符之处而使其响应成为实质性响应。</w:t>
      </w:r>
    </w:p>
    <w:p w14:paraId="00D69A0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3实质性未响应是指磋商响应文件中提出了超出磋商文件中采购标的、规格型号、招标控制价、采购数量、交货期、技术和服务要求等内容。</w:t>
      </w:r>
    </w:p>
    <w:p w14:paraId="2E739B0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19.3</w:t>
      </w:r>
      <w:r>
        <w:rPr>
          <w:rFonts w:hint="eastAsia" w:ascii="宋体" w:hAnsi="宋体" w:eastAsia="宋体" w:cs="Times New Roman"/>
          <w:sz w:val="24"/>
          <w:szCs w:val="24"/>
        </w:rPr>
        <w:t>有下列情形之一的，其磋商响应文件将会被拒绝：</w:t>
      </w:r>
    </w:p>
    <w:p w14:paraId="04BF69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（1）磋商响应供应商名称与营业执照不一致；</w:t>
      </w:r>
    </w:p>
    <w:p w14:paraId="22222D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（2）磋商报价超过竞争性磋商文件规定的招标控制价的；</w:t>
      </w:r>
    </w:p>
    <w:p w14:paraId="0F3BCDB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（3）以他人的名义磋商、串通磋商、以行贿手段谋取成交或者以其他弄虚作假方式磋商的；</w:t>
      </w:r>
    </w:p>
    <w:p w14:paraId="170B4BD5">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（4）采取不正当手段谋取成交的。</w:t>
      </w:r>
    </w:p>
    <w:p w14:paraId="2F28FC6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0、对磋商响应供应商的评价</w:t>
      </w:r>
    </w:p>
    <w:p w14:paraId="63954D1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磋商小组只对已判定为实质性响应且通过资格审查的磋商响应文件进行详细评价和比较。</w:t>
      </w:r>
    </w:p>
    <w:p w14:paraId="3AF22BE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2磋商小组所有成员应当集中与单一磋商响应供应商分别进行磋商，并给予所有参加磋商的磋商响应供应商平等的磋商机会。磋商完成后，要求其在规定时间内提交最后报价，提交最后报价的供应商不少于三家。</w:t>
      </w:r>
    </w:p>
    <w:p w14:paraId="640CE2D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3经磋商确定最终采购需求和提交最后报价的磋商响应供应商后，磋商小组采用综合评分法对提交最后报价的磋商响应供应商的磋商响应文件和最后报价进行综合评分。</w:t>
      </w:r>
    </w:p>
    <w:p w14:paraId="6F96A427">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E3999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14:paraId="5F4BBDD2">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1、磋商响应文件的澄清</w:t>
      </w:r>
    </w:p>
    <w:p w14:paraId="27562579">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为了有助于对磋商响应文件进行审查、评估和比较，磋商小组有权向磋商响应供应商质疑。请磋商响应供应商澄清其</w:t>
      </w:r>
      <w:r>
        <w:rPr>
          <w:rFonts w:hint="eastAsia" w:ascii="宋体" w:hAnsi="宋体" w:eastAsia="宋体" w:cs="Times New Roman"/>
          <w:kern w:val="0"/>
          <w:sz w:val="24"/>
          <w:szCs w:val="24"/>
        </w:rPr>
        <w:t>磋商</w:t>
      </w:r>
      <w:r>
        <w:rPr>
          <w:rFonts w:hint="eastAsia" w:ascii="宋体" w:hAnsi="宋体" w:eastAsia="宋体" w:cs="Times New Roman"/>
          <w:sz w:val="24"/>
          <w:szCs w:val="24"/>
        </w:rPr>
        <w:t>内容。磋商响应供应商有责任按照磋商小组通知的时间、地点、方式指派委托代理人进行答疑和澄清。</w:t>
      </w:r>
    </w:p>
    <w:p w14:paraId="170C8CB5">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重要澄清的答复应是书面的，并由法定代表人或其委托代理人签字。</w:t>
      </w:r>
    </w:p>
    <w:p w14:paraId="20D812CD">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磋商响应供应商的澄清文件是磋商响应文件的组成部分，并取代磋商响应文件中被澄清的部分。</w:t>
      </w:r>
    </w:p>
    <w:p w14:paraId="763C7548">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磋商响应文件澄清部分不得对磋商内容进行实质性修改。</w:t>
      </w:r>
    </w:p>
    <w:p w14:paraId="24CDD8B3">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2、磋商原则和方法</w:t>
      </w:r>
    </w:p>
    <w:p w14:paraId="2123CDD1">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坚持公开、公平、公正的原则。</w:t>
      </w:r>
    </w:p>
    <w:p w14:paraId="37581DB3">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磋商在磋商小组应当集中与单一磋商响应供应商分别进行磋商，磋商小组将遵照磋商原则，公正、平等地对待所有磋商响应供应商。</w:t>
      </w:r>
    </w:p>
    <w:p w14:paraId="68123A50">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评审方法</w:t>
      </w:r>
    </w:p>
    <w:p w14:paraId="273FC1E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初步评审（是否响应竞争性磋商文件的要求），确定合格的磋商响应供应商。</w:t>
      </w:r>
    </w:p>
    <w:p w14:paraId="0F5FE67E">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rPr>
        <w:t>各磋商响应供应商依据各自情况进行最后报价。</w:t>
      </w:r>
    </w:p>
    <w:p w14:paraId="6C43DAA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rPr>
        <w:t>经磋商确定最终采购需求和提交最后报价的磋商响应供应商，由磋商小组采用综合评分法对提交最后报价的磋商响应供应商的响应文件和最后报价进行综合评分。</w:t>
      </w:r>
    </w:p>
    <w:p w14:paraId="106E8F93">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3、确定成交供应商</w:t>
      </w:r>
    </w:p>
    <w:p w14:paraId="5DF6A400">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.1</w:t>
      </w:r>
      <w:r>
        <w:rPr>
          <w:rFonts w:hint="eastAsia" w:ascii="宋体" w:hAnsi="宋体" w:eastAsia="宋体" w:cs="Times New Roman"/>
          <w:sz w:val="24"/>
          <w:szCs w:val="24"/>
        </w:rPr>
        <w:t>磋商小组应当根据综合评分情况，按照评审有高到低的顺序推荐成交候选供应商，并向采购人提供书面评审报告。</w:t>
      </w:r>
    </w:p>
    <w:p w14:paraId="25A015C9">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4、保密及其它注意事项</w:t>
      </w:r>
    </w:p>
    <w:p w14:paraId="3507A8BC">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评审工作是磋商工作的重要环节，评审工作在磋商小组内独立进行。</w:t>
      </w:r>
    </w:p>
    <w:p w14:paraId="7DAC3931">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.2</w:t>
      </w:r>
      <w:r>
        <w:rPr>
          <w:rFonts w:hint="eastAsia" w:ascii="宋体" w:hAnsi="宋体" w:eastAsia="宋体" w:cs="Times New Roman"/>
          <w:sz w:val="24"/>
          <w:szCs w:val="24"/>
        </w:rPr>
        <w:t>在评审期间，磋商响应供应商不得向磋商小组成员询问评审情况，不得进行影响评审结果的活动。否则其响应将会被拒绝。</w:t>
      </w:r>
    </w:p>
    <w:p w14:paraId="4C311317">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为保证评审的公正性，磋商开始后直至授予成交供应商合同，磋商小组成员不得与供应商私下交换意见。</w:t>
      </w:r>
    </w:p>
    <w:p w14:paraId="07833B35">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在评审工作结束后，凡与评审情况有接触的任何人不得擅自将评审情况扩散出评审人员之外。</w:t>
      </w:r>
    </w:p>
    <w:p w14:paraId="4EEFEE5D">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5、成交通知</w:t>
      </w:r>
      <w:r>
        <w:rPr>
          <w:rFonts w:ascii="宋体" w:hAnsi="宋体" w:eastAsia="宋体" w:cs="Times New Roman"/>
          <w:b/>
          <w:bCs/>
          <w:sz w:val="24"/>
          <w:szCs w:val="24"/>
        </w:rPr>
        <w:tab/>
      </w:r>
    </w:p>
    <w:p w14:paraId="036E12E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r>
        <w:rPr>
          <w:rFonts w:ascii="宋体" w:hAnsi="宋体" w:eastAsia="宋体" w:cs="Times New Roman"/>
          <w:sz w:val="24"/>
          <w:szCs w:val="24"/>
        </w:rPr>
        <w:t>.1</w:t>
      </w:r>
      <w:r>
        <w:rPr>
          <w:rFonts w:hint="eastAsia" w:ascii="宋体" w:hAnsi="宋体" w:eastAsia="宋体" w:cs="Times New Roman"/>
          <w:sz w:val="24"/>
          <w:szCs w:val="24"/>
        </w:rPr>
        <w:t>成交供应商确定后，采购人向成交供应商签发《成交通知书》，并将成交结果通知所有未成交的磋商响应供应商。</w:t>
      </w:r>
    </w:p>
    <w:p w14:paraId="49AB7D33">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25</w:t>
      </w:r>
      <w:r>
        <w:rPr>
          <w:rFonts w:ascii="宋体" w:hAnsi="宋体" w:eastAsia="宋体" w:cs="Times New Roman"/>
          <w:sz w:val="24"/>
          <w:szCs w:val="24"/>
        </w:rPr>
        <w:t>.2</w:t>
      </w:r>
      <w:r>
        <w:rPr>
          <w:rFonts w:hint="eastAsia" w:ascii="宋体" w:hAnsi="宋体" w:eastAsia="宋体" w:cs="Times New Roman"/>
          <w:sz w:val="24"/>
          <w:szCs w:val="24"/>
        </w:rPr>
        <w:t>《成交通知书》作为签订合同的依据，对采购人和成交供应商均具有法律效力，成交通知书发出后，采购人改变成交结果或者成交供应商放弃项目，应依法承担法律责任。</w:t>
      </w:r>
    </w:p>
    <w:p w14:paraId="46EF2756">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6、授予合同时变更数量的权力</w:t>
      </w:r>
    </w:p>
    <w:p w14:paraId="625C8E78">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采购人在授予合同时，保留对货物数量予以适当增减的权利。成交供应商不得在此情况下对磋商响应文件做出修改，如价格、技术参数、服务承诺等。</w:t>
      </w:r>
    </w:p>
    <w:p w14:paraId="0F67B831">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7、签订合同</w:t>
      </w:r>
    </w:p>
    <w:p w14:paraId="15FF9B33">
      <w:pPr>
        <w:adjustRightInd w:val="0"/>
        <w:spacing w:line="420" w:lineRule="exact"/>
        <w:ind w:firstLine="422" w:firstLineChars="176"/>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.1</w:t>
      </w:r>
      <w:r>
        <w:rPr>
          <w:rFonts w:hint="eastAsia" w:ascii="宋体" w:hAnsi="宋体" w:eastAsia="宋体" w:cs="Times New Roman"/>
          <w:sz w:val="24"/>
          <w:szCs w:val="24"/>
        </w:rPr>
        <w:t>供应商应自中标通知书发出之日起2个工作日内与采购人签订采购合同</w:t>
      </w:r>
      <w:r>
        <w:rPr>
          <w:rFonts w:hint="eastAsia" w:ascii="宋体" w:hAnsi="宋体" w:eastAsia="宋体" w:cs="Times New Roman"/>
          <w:spacing w:val="-20"/>
          <w:sz w:val="24"/>
          <w:szCs w:val="24"/>
        </w:rPr>
        <w:t>。</w:t>
      </w:r>
    </w:p>
    <w:p w14:paraId="3C508DD2">
      <w:pPr>
        <w:adjustRightInd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.2</w:t>
      </w:r>
      <w:r>
        <w:rPr>
          <w:rFonts w:hint="eastAsia" w:ascii="宋体" w:hAnsi="宋体" w:eastAsia="宋体" w:cs="Times New Roman"/>
          <w:sz w:val="24"/>
          <w:szCs w:val="24"/>
        </w:rPr>
        <w:t>采购人签发的成交通知书、竞争性磋商文件、成交供应商的磋商响应文件及其澄清文件等，均为签订合同的依据。</w:t>
      </w:r>
    </w:p>
    <w:p w14:paraId="6F8AF685">
      <w:pPr>
        <w:spacing w:line="420" w:lineRule="exact"/>
        <w:ind w:firstLine="424" w:firstLineChars="176"/>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8．特别注意事项：</w:t>
      </w:r>
    </w:p>
    <w:p w14:paraId="63C1AE39">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磋商响应供应商出现下列情形之一的，磋商小组可取消其磋商资格：</w:t>
      </w:r>
    </w:p>
    <w:p w14:paraId="28B59721">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）未按磋商文件要求和规定提交实质性响应材料的；</w:t>
      </w:r>
    </w:p>
    <w:p w14:paraId="2978EF18">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）相互串通磋商的（有下列情形之一的，视为磋商响应供应商相互串通磋商）；</w:t>
      </w:r>
    </w:p>
    <w:p w14:paraId="214B404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、不同磋商响应供应商的响应文件由同一单位或者个人编制</w:t>
      </w:r>
    </w:p>
    <w:p w14:paraId="3C06CAC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、不同磋商响应供应商的响应文件载明的项目管理成员为同一人</w:t>
      </w:r>
    </w:p>
    <w:p w14:paraId="1C2C6F8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、不同磋商响应供应商的响应文件异常一致或者磋商报价呈规律性差异</w:t>
      </w:r>
    </w:p>
    <w:p w14:paraId="378FABE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D</w:t>
      </w:r>
      <w:r>
        <w:rPr>
          <w:rFonts w:hint="eastAsia" w:ascii="宋体" w:hAnsi="宋体" w:eastAsia="宋体" w:cs="Times New Roman"/>
          <w:sz w:val="24"/>
          <w:szCs w:val="24"/>
        </w:rPr>
        <w:t>、不同磋商响应供应商的响应文件相互混放</w:t>
      </w:r>
    </w:p>
    <w:p w14:paraId="6BA5E2D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.2 </w:t>
      </w:r>
      <w:r>
        <w:rPr>
          <w:rFonts w:hint="eastAsia" w:ascii="宋体" w:hAnsi="宋体" w:eastAsia="宋体" w:cs="Times New Roman"/>
          <w:sz w:val="24"/>
          <w:szCs w:val="24"/>
        </w:rPr>
        <w:t>磋商响应供应商出现下列情形之一的，将被视为非实质性响应磋商文件要求：</w:t>
      </w:r>
    </w:p>
    <w:p w14:paraId="2B847F3B">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 </w:t>
      </w:r>
      <w:r>
        <w:rPr>
          <w:rFonts w:hint="eastAsia" w:ascii="宋体" w:hAnsi="宋体" w:eastAsia="宋体" w:cs="Times New Roman"/>
          <w:sz w:val="24"/>
          <w:szCs w:val="24"/>
        </w:rPr>
        <w:t>交货（完成）期限不确切或不符合磋商文件要求的；</w:t>
      </w:r>
    </w:p>
    <w:p w14:paraId="65E3707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(2) </w:t>
      </w:r>
      <w:r>
        <w:rPr>
          <w:rFonts w:hint="eastAsia" w:ascii="宋体" w:hAnsi="宋体" w:eastAsia="宋体" w:cs="Times New Roman"/>
          <w:sz w:val="24"/>
          <w:szCs w:val="24"/>
        </w:rPr>
        <w:t>最后报价有选择性的；</w:t>
      </w:r>
    </w:p>
    <w:p w14:paraId="1156D0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(3) </w:t>
      </w:r>
      <w:r>
        <w:rPr>
          <w:rFonts w:hint="eastAsia" w:ascii="宋体" w:hAnsi="宋体" w:eastAsia="宋体" w:cs="Times New Roman"/>
          <w:sz w:val="24"/>
          <w:szCs w:val="24"/>
        </w:rPr>
        <w:t>最后报价超过招标控制价的；</w:t>
      </w:r>
    </w:p>
    <w:p w14:paraId="676E2A0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(4) </w:t>
      </w:r>
      <w:r>
        <w:rPr>
          <w:rFonts w:hint="eastAsia" w:ascii="宋体" w:hAnsi="宋体" w:eastAsia="宋体" w:cs="Times New Roman"/>
          <w:sz w:val="24"/>
          <w:szCs w:val="24"/>
        </w:rPr>
        <w:t>被磋商小组认定存在重大负偏离的；</w:t>
      </w:r>
    </w:p>
    <w:p w14:paraId="589B462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38E54FBE">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29．询问</w:t>
      </w:r>
    </w:p>
    <w:p w14:paraId="20F508F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29</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磋商响应供应商对采购事项有疑问，可以按照《政府采购法》的相关规定向采购人或采购代理机构提出询问。</w:t>
      </w:r>
    </w:p>
    <w:p w14:paraId="18935E60">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30</w:t>
      </w:r>
      <w:r>
        <w:rPr>
          <w:rFonts w:ascii="宋体" w:hAnsi="宋体" w:eastAsia="宋体" w:cs="Times New Roman"/>
          <w:b/>
          <w:bCs/>
          <w:sz w:val="24"/>
          <w:szCs w:val="24"/>
        </w:rPr>
        <w:t>.</w:t>
      </w:r>
      <w:r>
        <w:rPr>
          <w:rFonts w:hint="eastAsia" w:ascii="宋体" w:hAnsi="宋体" w:eastAsia="宋体" w:cs="Times New Roman"/>
          <w:b/>
          <w:bCs/>
          <w:sz w:val="24"/>
          <w:szCs w:val="24"/>
        </w:rPr>
        <w:t>质疑程序及处理</w:t>
      </w:r>
    </w:p>
    <w:p w14:paraId="62EBE38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30</w:t>
      </w:r>
      <w:r>
        <w:rPr>
          <w:rFonts w:ascii="宋体" w:hAnsi="宋体" w:eastAsia="宋体" w:cs="Times New Roman"/>
          <w:sz w:val="24"/>
          <w:szCs w:val="24"/>
        </w:rPr>
        <w:t xml:space="preserve">.1 </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36D4896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254473B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1EC1DC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4F5FFEF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12944F4F">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0E4D8EF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22CBF536">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060C3AD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4035970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246BDD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1AEA5F8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6A3D0C4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461E9A7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.3 </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2D451E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.4 </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602B89C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.5 </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790BCC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10445B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.7 </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5CD02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.8 </w:t>
      </w:r>
      <w:r>
        <w:rPr>
          <w:rFonts w:hint="eastAsia" w:ascii="宋体" w:hAnsi="宋体" w:eastAsia="宋体" w:cs="Times New Roman"/>
          <w:sz w:val="24"/>
          <w:szCs w:val="24"/>
        </w:rPr>
        <w:t>采购人将在收到符合上述条件的书面质疑后</w:t>
      </w:r>
      <w:r>
        <w:rPr>
          <w:rFonts w:ascii="宋体" w:hAnsi="宋体" w:eastAsia="宋体" w:cs="Times New Roman"/>
          <w:sz w:val="24"/>
          <w:szCs w:val="24"/>
        </w:rPr>
        <w:t xml:space="preserve"> 7 </w:t>
      </w:r>
      <w:r>
        <w:rPr>
          <w:rFonts w:hint="eastAsia" w:ascii="宋体" w:hAnsi="宋体" w:eastAsia="宋体" w:cs="Times New Roman"/>
          <w:sz w:val="24"/>
          <w:szCs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68AB5B1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.9 </w:t>
      </w:r>
      <w:r>
        <w:rPr>
          <w:rFonts w:hint="eastAsia" w:ascii="宋体" w:hAnsi="宋体" w:eastAsia="宋体" w:cs="Times New Roman"/>
          <w:sz w:val="24"/>
          <w:szCs w:val="24"/>
        </w:rPr>
        <w:t>质疑供应商对采购人的答复不满意以及采购人未在规定的时间内做出答复的，可以在答复期满后</w:t>
      </w:r>
      <w:r>
        <w:rPr>
          <w:rFonts w:ascii="宋体" w:hAnsi="宋体" w:eastAsia="宋体" w:cs="Times New Roman"/>
          <w:sz w:val="24"/>
          <w:szCs w:val="24"/>
        </w:rPr>
        <w:t>15</w:t>
      </w:r>
      <w:r>
        <w:rPr>
          <w:rFonts w:hint="eastAsia" w:ascii="宋体" w:hAnsi="宋体" w:eastAsia="宋体" w:cs="Times New Roman"/>
          <w:sz w:val="24"/>
          <w:szCs w:val="24"/>
        </w:rPr>
        <w:t>个工作日内向财政部门投诉。</w:t>
      </w:r>
    </w:p>
    <w:p w14:paraId="2693CC8D">
      <w:pPr>
        <w:spacing w:line="360" w:lineRule="auto"/>
        <w:jc w:val="center"/>
        <w:outlineLvl w:val="0"/>
        <w:rPr>
          <w:rFonts w:hint="eastAsia" w:ascii="宋体" w:hAnsi="宋体" w:eastAsia="宋体" w:cs="Times New Roman"/>
          <w:b/>
          <w:sz w:val="36"/>
          <w:szCs w:val="36"/>
        </w:rPr>
      </w:pPr>
      <w:r>
        <w:rPr>
          <w:rFonts w:ascii="宋体" w:hAnsi="宋体" w:eastAsia="宋体" w:cs="Times New Roman"/>
          <w:b/>
          <w:sz w:val="36"/>
          <w:szCs w:val="36"/>
        </w:rPr>
        <w:br w:type="page"/>
      </w:r>
      <w:r>
        <w:rPr>
          <w:rFonts w:hint="eastAsia" w:ascii="宋体" w:hAnsi="宋体" w:eastAsia="宋体" w:cs="Times New Roman"/>
          <w:b/>
          <w:sz w:val="36"/>
          <w:szCs w:val="36"/>
        </w:rPr>
        <w:t xml:space="preserve">第三章 采购内容及技术要求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643"/>
        <w:gridCol w:w="541"/>
        <w:gridCol w:w="2481"/>
        <w:gridCol w:w="3319"/>
        <w:gridCol w:w="822"/>
        <w:gridCol w:w="818"/>
      </w:tblGrid>
      <w:tr w14:paraId="628C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4" w:type="dxa"/>
            <w:gridSpan w:val="7"/>
            <w:vAlign w:val="center"/>
          </w:tcPr>
          <w:p w14:paraId="33E833D8">
            <w:pPr>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rPr>
              <w:t>三门峡市陕州区主城区照明设施设备更新改造项目（陕州大道段）采购</w:t>
            </w:r>
            <w:r>
              <w:rPr>
                <w:rFonts w:hint="eastAsia" w:asciiTheme="minorEastAsia" w:hAnsiTheme="minorEastAsia" w:cstheme="minorEastAsia"/>
                <w:b/>
                <w:bCs/>
                <w:sz w:val="24"/>
                <w:lang w:val="en-US" w:eastAsia="zh-CN"/>
              </w:rPr>
              <w:t>清单</w:t>
            </w:r>
          </w:p>
        </w:tc>
      </w:tr>
      <w:tr w14:paraId="6BF9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09" w:type="dxa"/>
            <w:vAlign w:val="center"/>
          </w:tcPr>
          <w:p w14:paraId="2C38510E">
            <w:pPr>
              <w:jc w:val="center"/>
              <w:rPr>
                <w:rFonts w:hint="eastAsia" w:asciiTheme="minorEastAsia" w:hAnsiTheme="minorEastAsia" w:cstheme="minorEastAsia"/>
                <w:sz w:val="24"/>
              </w:rPr>
            </w:pPr>
            <w:r>
              <w:rPr>
                <w:rFonts w:hint="eastAsia" w:asciiTheme="minorEastAsia" w:hAnsiTheme="minorEastAsia" w:cstheme="minorEastAsia"/>
                <w:sz w:val="24"/>
              </w:rPr>
              <w:t>名称</w:t>
            </w:r>
          </w:p>
        </w:tc>
        <w:tc>
          <w:tcPr>
            <w:tcW w:w="788" w:type="dxa"/>
            <w:vAlign w:val="center"/>
          </w:tcPr>
          <w:p w14:paraId="244781EA">
            <w:pPr>
              <w:jc w:val="center"/>
              <w:rPr>
                <w:rFonts w:hint="eastAsia" w:asciiTheme="minorEastAsia" w:hAnsiTheme="minorEastAsia" w:cstheme="minorEastAsia"/>
                <w:sz w:val="24"/>
              </w:rPr>
            </w:pPr>
            <w:r>
              <w:rPr>
                <w:rFonts w:hint="eastAsia" w:asciiTheme="minorEastAsia" w:hAnsiTheme="minorEastAsia" w:cstheme="minorEastAsia"/>
                <w:sz w:val="24"/>
              </w:rPr>
              <w:t>数量</w:t>
            </w:r>
          </w:p>
        </w:tc>
        <w:tc>
          <w:tcPr>
            <w:tcW w:w="726" w:type="dxa"/>
            <w:vAlign w:val="center"/>
          </w:tcPr>
          <w:p w14:paraId="43701B83">
            <w:pPr>
              <w:jc w:val="center"/>
              <w:rPr>
                <w:rFonts w:hint="eastAsia" w:asciiTheme="minorEastAsia" w:hAnsiTheme="minorEastAsia" w:cstheme="minorEastAsia"/>
                <w:sz w:val="24"/>
              </w:rPr>
            </w:pPr>
            <w:r>
              <w:rPr>
                <w:rFonts w:hint="eastAsia" w:asciiTheme="minorEastAsia" w:hAnsiTheme="minorEastAsia" w:cstheme="minorEastAsia"/>
                <w:sz w:val="24"/>
              </w:rPr>
              <w:t>单位</w:t>
            </w:r>
          </w:p>
        </w:tc>
        <w:tc>
          <w:tcPr>
            <w:tcW w:w="9099" w:type="dxa"/>
            <w:gridSpan w:val="2"/>
            <w:vAlign w:val="center"/>
          </w:tcPr>
          <w:p w14:paraId="0C5C1891">
            <w:pPr>
              <w:jc w:val="center"/>
              <w:rPr>
                <w:rFonts w:hint="eastAsia" w:asciiTheme="minorEastAsia" w:hAnsiTheme="minorEastAsia" w:cstheme="minorEastAsia"/>
                <w:sz w:val="24"/>
              </w:rPr>
            </w:pPr>
            <w:r>
              <w:rPr>
                <w:rFonts w:hint="eastAsia" w:asciiTheme="minorEastAsia" w:hAnsiTheme="minorEastAsia" w:cstheme="minorEastAsia"/>
                <w:sz w:val="24"/>
              </w:rPr>
              <w:t>技术参数</w:t>
            </w:r>
          </w:p>
        </w:tc>
        <w:tc>
          <w:tcPr>
            <w:tcW w:w="1093" w:type="dxa"/>
            <w:vAlign w:val="center"/>
          </w:tcPr>
          <w:p w14:paraId="0B2B4CEA">
            <w:pPr>
              <w:jc w:val="center"/>
              <w:rPr>
                <w:rFonts w:hint="eastAsia" w:asciiTheme="minorEastAsia" w:hAnsiTheme="minorEastAsia" w:cstheme="minorEastAsia"/>
                <w:sz w:val="24"/>
              </w:rPr>
            </w:pPr>
            <w:r>
              <w:rPr>
                <w:rFonts w:hint="eastAsia" w:asciiTheme="minorEastAsia" w:hAnsiTheme="minorEastAsia" w:cstheme="minorEastAsia"/>
                <w:sz w:val="24"/>
              </w:rPr>
              <w:t>单价</w:t>
            </w:r>
          </w:p>
          <w:p w14:paraId="02AFFAB2">
            <w:pPr>
              <w:jc w:val="center"/>
              <w:rPr>
                <w:rFonts w:hint="eastAsia" w:asciiTheme="minorEastAsia" w:hAnsiTheme="minorEastAsia" w:cstheme="minorEastAsia"/>
                <w:sz w:val="24"/>
              </w:rPr>
            </w:pPr>
            <w:r>
              <w:rPr>
                <w:rFonts w:hint="eastAsia" w:asciiTheme="minorEastAsia" w:hAnsiTheme="minorEastAsia" w:cstheme="minorEastAsia"/>
                <w:sz w:val="24"/>
              </w:rPr>
              <w:t>(元)</w:t>
            </w:r>
          </w:p>
        </w:tc>
        <w:tc>
          <w:tcPr>
            <w:tcW w:w="1079" w:type="dxa"/>
            <w:vAlign w:val="center"/>
          </w:tcPr>
          <w:p w14:paraId="0FE9F140">
            <w:pPr>
              <w:jc w:val="center"/>
              <w:rPr>
                <w:rFonts w:hint="eastAsia" w:asciiTheme="minorEastAsia" w:hAnsiTheme="minorEastAsia" w:cstheme="minorEastAsia"/>
                <w:sz w:val="24"/>
              </w:rPr>
            </w:pPr>
            <w:r>
              <w:rPr>
                <w:rFonts w:hint="eastAsia" w:asciiTheme="minorEastAsia" w:hAnsiTheme="minorEastAsia" w:cstheme="minorEastAsia"/>
                <w:sz w:val="24"/>
              </w:rPr>
              <w:t>总价</w:t>
            </w:r>
          </w:p>
          <w:p w14:paraId="3A998291">
            <w:pPr>
              <w:jc w:val="center"/>
              <w:rPr>
                <w:rFonts w:hint="eastAsia" w:asciiTheme="minorEastAsia" w:hAnsiTheme="minorEastAsia" w:cstheme="minorEastAsia"/>
                <w:sz w:val="24"/>
              </w:rPr>
            </w:pPr>
            <w:r>
              <w:rPr>
                <w:rFonts w:hint="eastAsia" w:asciiTheme="minorEastAsia" w:hAnsiTheme="minorEastAsia" w:cstheme="minorEastAsia"/>
                <w:sz w:val="24"/>
              </w:rPr>
              <w:t>(元)</w:t>
            </w:r>
          </w:p>
        </w:tc>
      </w:tr>
      <w:tr w14:paraId="04D0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restart"/>
            <w:vAlign w:val="center"/>
          </w:tcPr>
          <w:p w14:paraId="50356401">
            <w:pPr>
              <w:jc w:val="center"/>
              <w:rPr>
                <w:rFonts w:hint="eastAsia" w:asciiTheme="minorEastAsia" w:hAnsiTheme="minorEastAsia" w:cstheme="minorEastAsia"/>
                <w:sz w:val="24"/>
              </w:rPr>
            </w:pPr>
            <w:r>
              <w:rPr>
                <w:rFonts w:hint="eastAsia" w:asciiTheme="minorEastAsia" w:hAnsiTheme="minorEastAsia" w:cstheme="minorEastAsia"/>
                <w:sz w:val="24"/>
              </w:rPr>
              <w:t>LED灯具</w:t>
            </w:r>
          </w:p>
        </w:tc>
        <w:tc>
          <w:tcPr>
            <w:tcW w:w="788" w:type="dxa"/>
            <w:vMerge w:val="restart"/>
            <w:vAlign w:val="center"/>
          </w:tcPr>
          <w:p w14:paraId="3934FB43">
            <w:pPr>
              <w:jc w:val="center"/>
              <w:rPr>
                <w:rFonts w:hint="eastAsia" w:asciiTheme="minorEastAsia" w:hAnsiTheme="minorEastAsia" w:cstheme="minorEastAsia"/>
                <w:sz w:val="24"/>
              </w:rPr>
            </w:pPr>
            <w:r>
              <w:rPr>
                <w:rFonts w:hint="eastAsia" w:asciiTheme="minorEastAsia" w:hAnsiTheme="minorEastAsia" w:cstheme="minorEastAsia"/>
                <w:sz w:val="24"/>
              </w:rPr>
              <w:t>488</w:t>
            </w:r>
          </w:p>
        </w:tc>
        <w:tc>
          <w:tcPr>
            <w:tcW w:w="726" w:type="dxa"/>
            <w:vMerge w:val="restart"/>
            <w:vAlign w:val="center"/>
          </w:tcPr>
          <w:p w14:paraId="221B439B">
            <w:pPr>
              <w:jc w:val="center"/>
              <w:rPr>
                <w:rFonts w:hint="eastAsia" w:asciiTheme="minorEastAsia" w:hAnsiTheme="minorEastAsia" w:cstheme="minorEastAsia"/>
                <w:sz w:val="24"/>
              </w:rPr>
            </w:pPr>
            <w:r>
              <w:rPr>
                <w:rFonts w:hint="eastAsia" w:asciiTheme="minorEastAsia" w:hAnsiTheme="minorEastAsia" w:cstheme="minorEastAsia"/>
                <w:sz w:val="24"/>
              </w:rPr>
              <w:t>套</w:t>
            </w:r>
          </w:p>
        </w:tc>
        <w:tc>
          <w:tcPr>
            <w:tcW w:w="9099" w:type="dxa"/>
            <w:gridSpan w:val="2"/>
            <w:vAlign w:val="center"/>
          </w:tcPr>
          <w:p w14:paraId="5CED4E0C">
            <w:pPr>
              <w:jc w:val="center"/>
              <w:rPr>
                <w:rFonts w:hint="eastAsia" w:asciiTheme="minorEastAsia" w:hAnsiTheme="minorEastAsia" w:cstheme="minorEastAsia"/>
                <w:sz w:val="24"/>
              </w:rPr>
            </w:pPr>
            <w:r>
              <w:rPr>
                <w:rFonts w:hint="eastAsia" w:asciiTheme="minorEastAsia" w:hAnsiTheme="minorEastAsia" w:cstheme="minorEastAsia"/>
                <w:b/>
                <w:bCs/>
                <w:sz w:val="24"/>
              </w:rPr>
              <w:t>一、主要参数要求</w:t>
            </w:r>
          </w:p>
        </w:tc>
        <w:tc>
          <w:tcPr>
            <w:tcW w:w="1093" w:type="dxa"/>
            <w:vMerge w:val="restart"/>
            <w:vAlign w:val="center"/>
          </w:tcPr>
          <w:p w14:paraId="03A7F75C">
            <w:pPr>
              <w:jc w:val="center"/>
              <w:rPr>
                <w:rFonts w:hint="eastAsia" w:asciiTheme="minorEastAsia" w:hAnsiTheme="minorEastAsia" w:cstheme="minorEastAsia"/>
                <w:sz w:val="24"/>
              </w:rPr>
            </w:pPr>
          </w:p>
        </w:tc>
        <w:tc>
          <w:tcPr>
            <w:tcW w:w="1079" w:type="dxa"/>
            <w:vMerge w:val="restart"/>
            <w:vAlign w:val="center"/>
          </w:tcPr>
          <w:p w14:paraId="0FEBB5B2">
            <w:pPr>
              <w:jc w:val="center"/>
              <w:rPr>
                <w:rFonts w:hint="eastAsia" w:asciiTheme="minorEastAsia" w:hAnsiTheme="minorEastAsia" w:cstheme="minorEastAsia"/>
                <w:sz w:val="24"/>
              </w:rPr>
            </w:pPr>
          </w:p>
        </w:tc>
      </w:tr>
      <w:tr w14:paraId="1677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6267F188">
            <w:pPr>
              <w:jc w:val="center"/>
              <w:rPr>
                <w:rFonts w:hint="eastAsia" w:asciiTheme="minorEastAsia" w:hAnsiTheme="minorEastAsia" w:cstheme="minorEastAsia"/>
                <w:sz w:val="24"/>
              </w:rPr>
            </w:pPr>
          </w:p>
        </w:tc>
        <w:tc>
          <w:tcPr>
            <w:tcW w:w="788" w:type="dxa"/>
            <w:vMerge w:val="continue"/>
            <w:vAlign w:val="center"/>
          </w:tcPr>
          <w:p w14:paraId="1DCBD401">
            <w:pPr>
              <w:jc w:val="center"/>
              <w:rPr>
                <w:rFonts w:hint="eastAsia" w:asciiTheme="minorEastAsia" w:hAnsiTheme="minorEastAsia" w:cstheme="minorEastAsia"/>
                <w:sz w:val="24"/>
              </w:rPr>
            </w:pPr>
          </w:p>
        </w:tc>
        <w:tc>
          <w:tcPr>
            <w:tcW w:w="726" w:type="dxa"/>
            <w:vMerge w:val="continue"/>
            <w:vAlign w:val="center"/>
          </w:tcPr>
          <w:p w14:paraId="5EC8F3F9">
            <w:pPr>
              <w:jc w:val="center"/>
              <w:rPr>
                <w:rFonts w:hint="eastAsia" w:asciiTheme="minorEastAsia" w:hAnsiTheme="minorEastAsia" w:cstheme="minorEastAsia"/>
                <w:sz w:val="24"/>
              </w:rPr>
            </w:pPr>
          </w:p>
        </w:tc>
        <w:tc>
          <w:tcPr>
            <w:tcW w:w="4520" w:type="dxa"/>
            <w:vAlign w:val="center"/>
          </w:tcPr>
          <w:p w14:paraId="2A2A564D">
            <w:pPr>
              <w:jc w:val="center"/>
              <w:rPr>
                <w:rFonts w:hint="eastAsia" w:asciiTheme="minorEastAsia" w:hAnsiTheme="minorEastAsia" w:cstheme="minorEastAsia"/>
                <w:sz w:val="24"/>
              </w:rPr>
            </w:pPr>
            <w:r>
              <w:rPr>
                <w:rFonts w:hint="eastAsia" w:asciiTheme="minorEastAsia" w:hAnsiTheme="minorEastAsia" w:cstheme="minorEastAsia"/>
                <w:sz w:val="24"/>
              </w:rPr>
              <w:t>色温</w:t>
            </w:r>
          </w:p>
        </w:tc>
        <w:tc>
          <w:tcPr>
            <w:tcW w:w="4579" w:type="dxa"/>
            <w:vAlign w:val="center"/>
          </w:tcPr>
          <w:p w14:paraId="11C26D5E">
            <w:pPr>
              <w:jc w:val="center"/>
              <w:rPr>
                <w:rFonts w:hint="eastAsia" w:asciiTheme="minorEastAsia" w:hAnsiTheme="minorEastAsia" w:cstheme="minorEastAsia"/>
                <w:sz w:val="24"/>
              </w:rPr>
            </w:pPr>
            <w:r>
              <w:rPr>
                <w:rFonts w:hint="eastAsia" w:asciiTheme="minorEastAsia" w:hAnsiTheme="minorEastAsia" w:cstheme="minorEastAsia"/>
                <w:sz w:val="24"/>
              </w:rPr>
              <w:t>3000K±125K</w:t>
            </w:r>
          </w:p>
        </w:tc>
        <w:tc>
          <w:tcPr>
            <w:tcW w:w="1093" w:type="dxa"/>
            <w:vMerge w:val="continue"/>
            <w:vAlign w:val="center"/>
          </w:tcPr>
          <w:p w14:paraId="18BDB978">
            <w:pPr>
              <w:jc w:val="center"/>
              <w:rPr>
                <w:rFonts w:hint="eastAsia" w:asciiTheme="minorEastAsia" w:hAnsiTheme="minorEastAsia" w:cstheme="minorEastAsia"/>
                <w:sz w:val="24"/>
              </w:rPr>
            </w:pPr>
          </w:p>
        </w:tc>
        <w:tc>
          <w:tcPr>
            <w:tcW w:w="1079" w:type="dxa"/>
            <w:vMerge w:val="continue"/>
            <w:vAlign w:val="center"/>
          </w:tcPr>
          <w:p w14:paraId="1FBD44C0">
            <w:pPr>
              <w:jc w:val="center"/>
              <w:rPr>
                <w:rFonts w:hint="eastAsia" w:asciiTheme="minorEastAsia" w:hAnsiTheme="minorEastAsia" w:cstheme="minorEastAsia"/>
                <w:sz w:val="24"/>
              </w:rPr>
            </w:pPr>
          </w:p>
        </w:tc>
      </w:tr>
      <w:tr w14:paraId="3A25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7EA2D38F">
            <w:pPr>
              <w:jc w:val="center"/>
              <w:rPr>
                <w:rFonts w:hint="eastAsia" w:asciiTheme="minorEastAsia" w:hAnsiTheme="minorEastAsia" w:cstheme="minorEastAsia"/>
                <w:sz w:val="24"/>
              </w:rPr>
            </w:pPr>
          </w:p>
        </w:tc>
        <w:tc>
          <w:tcPr>
            <w:tcW w:w="788" w:type="dxa"/>
            <w:vMerge w:val="continue"/>
            <w:vAlign w:val="center"/>
          </w:tcPr>
          <w:p w14:paraId="5D7E9B8B">
            <w:pPr>
              <w:jc w:val="center"/>
              <w:rPr>
                <w:rFonts w:hint="eastAsia" w:asciiTheme="minorEastAsia" w:hAnsiTheme="minorEastAsia" w:cstheme="minorEastAsia"/>
                <w:sz w:val="24"/>
              </w:rPr>
            </w:pPr>
          </w:p>
        </w:tc>
        <w:tc>
          <w:tcPr>
            <w:tcW w:w="726" w:type="dxa"/>
            <w:vMerge w:val="continue"/>
            <w:vAlign w:val="center"/>
          </w:tcPr>
          <w:p w14:paraId="3F57E9B9">
            <w:pPr>
              <w:jc w:val="center"/>
              <w:rPr>
                <w:rFonts w:hint="eastAsia" w:asciiTheme="minorEastAsia" w:hAnsiTheme="minorEastAsia" w:cstheme="minorEastAsia"/>
                <w:sz w:val="24"/>
              </w:rPr>
            </w:pPr>
          </w:p>
        </w:tc>
        <w:tc>
          <w:tcPr>
            <w:tcW w:w="4520" w:type="dxa"/>
            <w:vAlign w:val="center"/>
          </w:tcPr>
          <w:p w14:paraId="730CC315">
            <w:pPr>
              <w:jc w:val="center"/>
              <w:rPr>
                <w:rFonts w:hint="eastAsia" w:asciiTheme="minorEastAsia" w:hAnsiTheme="minorEastAsia" w:cstheme="minorEastAsia"/>
                <w:sz w:val="24"/>
              </w:rPr>
            </w:pPr>
            <w:r>
              <w:rPr>
                <w:rFonts w:hint="eastAsia" w:asciiTheme="minorEastAsia" w:hAnsiTheme="minorEastAsia" w:cstheme="minorEastAsia"/>
                <w:sz w:val="24"/>
              </w:rPr>
              <w:t>★显色指数</w:t>
            </w:r>
          </w:p>
        </w:tc>
        <w:tc>
          <w:tcPr>
            <w:tcW w:w="4579" w:type="dxa"/>
            <w:vAlign w:val="center"/>
          </w:tcPr>
          <w:p w14:paraId="1D35F707">
            <w:pPr>
              <w:jc w:val="center"/>
              <w:rPr>
                <w:rFonts w:hint="eastAsia" w:asciiTheme="minorEastAsia" w:hAnsiTheme="minorEastAsia" w:cstheme="minorEastAsia"/>
                <w:sz w:val="24"/>
              </w:rPr>
            </w:pPr>
            <w:r>
              <w:rPr>
                <w:rFonts w:hint="eastAsia" w:asciiTheme="minorEastAsia" w:hAnsiTheme="minorEastAsia" w:cstheme="minorEastAsia"/>
                <w:sz w:val="24"/>
              </w:rPr>
              <w:t>≥70</w:t>
            </w:r>
          </w:p>
        </w:tc>
        <w:tc>
          <w:tcPr>
            <w:tcW w:w="1093" w:type="dxa"/>
            <w:vMerge w:val="continue"/>
            <w:vAlign w:val="center"/>
          </w:tcPr>
          <w:p w14:paraId="42F3683F">
            <w:pPr>
              <w:jc w:val="center"/>
              <w:rPr>
                <w:rFonts w:hint="eastAsia" w:asciiTheme="minorEastAsia" w:hAnsiTheme="minorEastAsia" w:cstheme="minorEastAsia"/>
                <w:sz w:val="24"/>
              </w:rPr>
            </w:pPr>
          </w:p>
        </w:tc>
        <w:tc>
          <w:tcPr>
            <w:tcW w:w="1079" w:type="dxa"/>
            <w:vMerge w:val="continue"/>
            <w:vAlign w:val="center"/>
          </w:tcPr>
          <w:p w14:paraId="52DCC626">
            <w:pPr>
              <w:jc w:val="center"/>
              <w:rPr>
                <w:rFonts w:hint="eastAsia" w:asciiTheme="minorEastAsia" w:hAnsiTheme="minorEastAsia" w:cstheme="minorEastAsia"/>
                <w:sz w:val="24"/>
              </w:rPr>
            </w:pPr>
          </w:p>
        </w:tc>
      </w:tr>
      <w:tr w14:paraId="14A6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4B7A96C8">
            <w:pPr>
              <w:jc w:val="center"/>
              <w:rPr>
                <w:rFonts w:hint="eastAsia" w:asciiTheme="minorEastAsia" w:hAnsiTheme="minorEastAsia" w:cstheme="minorEastAsia"/>
                <w:sz w:val="24"/>
              </w:rPr>
            </w:pPr>
          </w:p>
        </w:tc>
        <w:tc>
          <w:tcPr>
            <w:tcW w:w="788" w:type="dxa"/>
            <w:vMerge w:val="continue"/>
            <w:vAlign w:val="center"/>
          </w:tcPr>
          <w:p w14:paraId="1114D0EF">
            <w:pPr>
              <w:jc w:val="center"/>
              <w:rPr>
                <w:rFonts w:hint="eastAsia" w:asciiTheme="minorEastAsia" w:hAnsiTheme="minorEastAsia" w:cstheme="minorEastAsia"/>
                <w:sz w:val="24"/>
              </w:rPr>
            </w:pPr>
          </w:p>
        </w:tc>
        <w:tc>
          <w:tcPr>
            <w:tcW w:w="726" w:type="dxa"/>
            <w:vMerge w:val="continue"/>
            <w:vAlign w:val="center"/>
          </w:tcPr>
          <w:p w14:paraId="2EAB61FA">
            <w:pPr>
              <w:jc w:val="center"/>
              <w:rPr>
                <w:rFonts w:hint="eastAsia" w:asciiTheme="minorEastAsia" w:hAnsiTheme="minorEastAsia" w:cstheme="minorEastAsia"/>
                <w:sz w:val="24"/>
              </w:rPr>
            </w:pPr>
          </w:p>
        </w:tc>
        <w:tc>
          <w:tcPr>
            <w:tcW w:w="4520" w:type="dxa"/>
            <w:vAlign w:val="center"/>
          </w:tcPr>
          <w:p w14:paraId="0A10530F">
            <w:pPr>
              <w:jc w:val="center"/>
              <w:rPr>
                <w:rFonts w:hint="eastAsia" w:asciiTheme="minorEastAsia" w:hAnsiTheme="minorEastAsia" w:cstheme="minorEastAsia"/>
                <w:sz w:val="24"/>
              </w:rPr>
            </w:pPr>
            <w:r>
              <w:rPr>
                <w:rFonts w:hint="eastAsia" w:asciiTheme="minorEastAsia" w:hAnsiTheme="minorEastAsia" w:cstheme="minorEastAsia"/>
                <w:sz w:val="24"/>
              </w:rPr>
              <w:t>★寿命</w:t>
            </w:r>
          </w:p>
        </w:tc>
        <w:tc>
          <w:tcPr>
            <w:tcW w:w="4579" w:type="dxa"/>
            <w:vAlign w:val="center"/>
          </w:tcPr>
          <w:p w14:paraId="09A39CBB">
            <w:pPr>
              <w:jc w:val="center"/>
              <w:rPr>
                <w:rFonts w:hint="eastAsia" w:asciiTheme="minorEastAsia" w:hAnsiTheme="minorEastAsia" w:cstheme="minorEastAsia"/>
                <w:sz w:val="24"/>
              </w:rPr>
            </w:pPr>
            <w:r>
              <w:rPr>
                <w:rFonts w:hint="eastAsia" w:asciiTheme="minorEastAsia" w:hAnsiTheme="minorEastAsia" w:cstheme="minorEastAsia"/>
                <w:sz w:val="24"/>
              </w:rPr>
              <w:t>&gt;50000H</w:t>
            </w:r>
          </w:p>
        </w:tc>
        <w:tc>
          <w:tcPr>
            <w:tcW w:w="1093" w:type="dxa"/>
            <w:vMerge w:val="continue"/>
            <w:vAlign w:val="center"/>
          </w:tcPr>
          <w:p w14:paraId="6C91452B">
            <w:pPr>
              <w:jc w:val="center"/>
              <w:rPr>
                <w:rFonts w:hint="eastAsia" w:asciiTheme="minorEastAsia" w:hAnsiTheme="minorEastAsia" w:cstheme="minorEastAsia"/>
                <w:sz w:val="24"/>
              </w:rPr>
            </w:pPr>
          </w:p>
        </w:tc>
        <w:tc>
          <w:tcPr>
            <w:tcW w:w="1079" w:type="dxa"/>
            <w:vMerge w:val="continue"/>
            <w:vAlign w:val="center"/>
          </w:tcPr>
          <w:p w14:paraId="5F8EE5DC">
            <w:pPr>
              <w:jc w:val="center"/>
              <w:rPr>
                <w:rFonts w:hint="eastAsia" w:asciiTheme="minorEastAsia" w:hAnsiTheme="minorEastAsia" w:cstheme="minorEastAsia"/>
                <w:sz w:val="24"/>
              </w:rPr>
            </w:pPr>
          </w:p>
        </w:tc>
      </w:tr>
      <w:tr w14:paraId="36F9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7862CF7E">
            <w:pPr>
              <w:jc w:val="center"/>
              <w:rPr>
                <w:rFonts w:hint="eastAsia" w:asciiTheme="minorEastAsia" w:hAnsiTheme="minorEastAsia" w:cstheme="minorEastAsia"/>
                <w:sz w:val="24"/>
              </w:rPr>
            </w:pPr>
          </w:p>
        </w:tc>
        <w:tc>
          <w:tcPr>
            <w:tcW w:w="788" w:type="dxa"/>
            <w:vMerge w:val="continue"/>
            <w:vAlign w:val="center"/>
          </w:tcPr>
          <w:p w14:paraId="424CBDE3">
            <w:pPr>
              <w:jc w:val="center"/>
              <w:rPr>
                <w:rFonts w:hint="eastAsia" w:asciiTheme="minorEastAsia" w:hAnsiTheme="minorEastAsia" w:cstheme="minorEastAsia"/>
                <w:sz w:val="24"/>
              </w:rPr>
            </w:pPr>
          </w:p>
        </w:tc>
        <w:tc>
          <w:tcPr>
            <w:tcW w:w="726" w:type="dxa"/>
            <w:vMerge w:val="continue"/>
            <w:vAlign w:val="center"/>
          </w:tcPr>
          <w:p w14:paraId="05C3058B">
            <w:pPr>
              <w:jc w:val="center"/>
              <w:rPr>
                <w:rFonts w:hint="eastAsia" w:asciiTheme="minorEastAsia" w:hAnsiTheme="minorEastAsia" w:cstheme="minorEastAsia"/>
                <w:sz w:val="24"/>
              </w:rPr>
            </w:pPr>
          </w:p>
        </w:tc>
        <w:tc>
          <w:tcPr>
            <w:tcW w:w="4520" w:type="dxa"/>
            <w:vAlign w:val="center"/>
          </w:tcPr>
          <w:p w14:paraId="21FBA859">
            <w:pPr>
              <w:jc w:val="center"/>
              <w:rPr>
                <w:rFonts w:hint="eastAsia" w:asciiTheme="minorEastAsia" w:hAnsiTheme="minorEastAsia" w:cstheme="minorEastAsia"/>
                <w:sz w:val="24"/>
              </w:rPr>
            </w:pPr>
            <w:r>
              <w:rPr>
                <w:rFonts w:hint="eastAsia" w:asciiTheme="minorEastAsia" w:hAnsiTheme="minorEastAsia" w:cstheme="minorEastAsia"/>
                <w:sz w:val="24"/>
              </w:rPr>
              <w:t>★光通量</w:t>
            </w:r>
          </w:p>
        </w:tc>
        <w:tc>
          <w:tcPr>
            <w:tcW w:w="4579" w:type="dxa"/>
            <w:vAlign w:val="center"/>
          </w:tcPr>
          <w:p w14:paraId="24CB0B2D">
            <w:pPr>
              <w:jc w:val="center"/>
              <w:rPr>
                <w:rFonts w:hint="eastAsia" w:asciiTheme="minorEastAsia" w:hAnsiTheme="minorEastAsia" w:cstheme="minorEastAsia"/>
                <w:sz w:val="24"/>
              </w:rPr>
            </w:pPr>
            <w:r>
              <w:rPr>
                <w:rFonts w:hint="eastAsia" w:asciiTheme="minorEastAsia" w:hAnsiTheme="minorEastAsia" w:cstheme="minorEastAsia"/>
                <w:sz w:val="24"/>
              </w:rPr>
              <w:t>≥28000lm</w:t>
            </w:r>
          </w:p>
        </w:tc>
        <w:tc>
          <w:tcPr>
            <w:tcW w:w="1093" w:type="dxa"/>
            <w:vMerge w:val="continue"/>
            <w:vAlign w:val="center"/>
          </w:tcPr>
          <w:p w14:paraId="0312EE65">
            <w:pPr>
              <w:jc w:val="center"/>
              <w:rPr>
                <w:rFonts w:hint="eastAsia" w:asciiTheme="minorEastAsia" w:hAnsiTheme="minorEastAsia" w:cstheme="minorEastAsia"/>
                <w:sz w:val="24"/>
              </w:rPr>
            </w:pPr>
          </w:p>
        </w:tc>
        <w:tc>
          <w:tcPr>
            <w:tcW w:w="1079" w:type="dxa"/>
            <w:vMerge w:val="continue"/>
            <w:vAlign w:val="center"/>
          </w:tcPr>
          <w:p w14:paraId="0A310312">
            <w:pPr>
              <w:jc w:val="center"/>
              <w:rPr>
                <w:rFonts w:hint="eastAsia" w:asciiTheme="minorEastAsia" w:hAnsiTheme="minorEastAsia" w:cstheme="minorEastAsia"/>
                <w:sz w:val="24"/>
              </w:rPr>
            </w:pPr>
          </w:p>
        </w:tc>
      </w:tr>
      <w:tr w14:paraId="0496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28F4CDB3">
            <w:pPr>
              <w:jc w:val="center"/>
              <w:rPr>
                <w:rFonts w:hint="eastAsia" w:asciiTheme="minorEastAsia" w:hAnsiTheme="minorEastAsia" w:cstheme="minorEastAsia"/>
                <w:sz w:val="24"/>
              </w:rPr>
            </w:pPr>
          </w:p>
        </w:tc>
        <w:tc>
          <w:tcPr>
            <w:tcW w:w="788" w:type="dxa"/>
            <w:vMerge w:val="continue"/>
            <w:vAlign w:val="center"/>
          </w:tcPr>
          <w:p w14:paraId="04F5EEA1">
            <w:pPr>
              <w:jc w:val="center"/>
              <w:rPr>
                <w:rFonts w:hint="eastAsia" w:asciiTheme="minorEastAsia" w:hAnsiTheme="minorEastAsia" w:cstheme="minorEastAsia"/>
                <w:sz w:val="24"/>
              </w:rPr>
            </w:pPr>
          </w:p>
        </w:tc>
        <w:tc>
          <w:tcPr>
            <w:tcW w:w="726" w:type="dxa"/>
            <w:vMerge w:val="continue"/>
            <w:vAlign w:val="center"/>
          </w:tcPr>
          <w:p w14:paraId="100DC53A">
            <w:pPr>
              <w:jc w:val="center"/>
              <w:rPr>
                <w:rFonts w:hint="eastAsia" w:asciiTheme="minorEastAsia" w:hAnsiTheme="minorEastAsia" w:cstheme="minorEastAsia"/>
                <w:sz w:val="24"/>
              </w:rPr>
            </w:pPr>
          </w:p>
        </w:tc>
        <w:tc>
          <w:tcPr>
            <w:tcW w:w="4520" w:type="dxa"/>
            <w:vAlign w:val="center"/>
          </w:tcPr>
          <w:p w14:paraId="7BB0F8A4">
            <w:pPr>
              <w:jc w:val="center"/>
              <w:rPr>
                <w:rFonts w:hint="eastAsia" w:asciiTheme="minorEastAsia" w:hAnsiTheme="minorEastAsia" w:cstheme="minorEastAsia"/>
                <w:sz w:val="24"/>
              </w:rPr>
            </w:pPr>
            <w:r>
              <w:rPr>
                <w:rFonts w:hint="eastAsia" w:asciiTheme="minorEastAsia" w:hAnsiTheme="minorEastAsia" w:cstheme="minorEastAsia"/>
                <w:sz w:val="24"/>
              </w:rPr>
              <w:t>功率因素</w:t>
            </w:r>
          </w:p>
        </w:tc>
        <w:tc>
          <w:tcPr>
            <w:tcW w:w="4579" w:type="dxa"/>
            <w:vAlign w:val="center"/>
          </w:tcPr>
          <w:p w14:paraId="170E4715">
            <w:pPr>
              <w:jc w:val="center"/>
              <w:rPr>
                <w:rFonts w:hint="eastAsia" w:asciiTheme="minorEastAsia" w:hAnsiTheme="minorEastAsia" w:cstheme="minorEastAsia"/>
                <w:sz w:val="24"/>
              </w:rPr>
            </w:pPr>
            <w:r>
              <w:rPr>
                <w:rFonts w:hint="eastAsia" w:asciiTheme="minorEastAsia" w:hAnsiTheme="minorEastAsia" w:cstheme="minorEastAsia"/>
                <w:sz w:val="24"/>
              </w:rPr>
              <w:t>≥0.97</w:t>
            </w:r>
          </w:p>
        </w:tc>
        <w:tc>
          <w:tcPr>
            <w:tcW w:w="1093" w:type="dxa"/>
            <w:vMerge w:val="continue"/>
            <w:vAlign w:val="center"/>
          </w:tcPr>
          <w:p w14:paraId="057565C5">
            <w:pPr>
              <w:jc w:val="center"/>
              <w:rPr>
                <w:rFonts w:hint="eastAsia" w:asciiTheme="minorEastAsia" w:hAnsiTheme="minorEastAsia" w:cstheme="minorEastAsia"/>
                <w:sz w:val="24"/>
              </w:rPr>
            </w:pPr>
          </w:p>
        </w:tc>
        <w:tc>
          <w:tcPr>
            <w:tcW w:w="1079" w:type="dxa"/>
            <w:vMerge w:val="continue"/>
            <w:vAlign w:val="center"/>
          </w:tcPr>
          <w:p w14:paraId="3FDA3E88">
            <w:pPr>
              <w:jc w:val="center"/>
              <w:rPr>
                <w:rFonts w:hint="eastAsia" w:asciiTheme="minorEastAsia" w:hAnsiTheme="minorEastAsia" w:cstheme="minorEastAsia"/>
                <w:sz w:val="24"/>
              </w:rPr>
            </w:pPr>
          </w:p>
        </w:tc>
      </w:tr>
      <w:tr w14:paraId="6F68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1995759F">
            <w:pPr>
              <w:jc w:val="center"/>
              <w:rPr>
                <w:rFonts w:hint="eastAsia" w:asciiTheme="minorEastAsia" w:hAnsiTheme="minorEastAsia" w:cstheme="minorEastAsia"/>
                <w:sz w:val="24"/>
              </w:rPr>
            </w:pPr>
          </w:p>
        </w:tc>
        <w:tc>
          <w:tcPr>
            <w:tcW w:w="788" w:type="dxa"/>
            <w:vMerge w:val="continue"/>
            <w:vAlign w:val="center"/>
          </w:tcPr>
          <w:p w14:paraId="5F428D83">
            <w:pPr>
              <w:jc w:val="center"/>
              <w:rPr>
                <w:rFonts w:hint="eastAsia" w:asciiTheme="minorEastAsia" w:hAnsiTheme="minorEastAsia" w:cstheme="minorEastAsia"/>
                <w:sz w:val="24"/>
              </w:rPr>
            </w:pPr>
          </w:p>
        </w:tc>
        <w:tc>
          <w:tcPr>
            <w:tcW w:w="726" w:type="dxa"/>
            <w:vMerge w:val="continue"/>
            <w:vAlign w:val="center"/>
          </w:tcPr>
          <w:p w14:paraId="69CC5929">
            <w:pPr>
              <w:jc w:val="center"/>
              <w:rPr>
                <w:rFonts w:hint="eastAsia" w:asciiTheme="minorEastAsia" w:hAnsiTheme="minorEastAsia" w:cstheme="minorEastAsia"/>
                <w:sz w:val="24"/>
              </w:rPr>
            </w:pPr>
          </w:p>
        </w:tc>
        <w:tc>
          <w:tcPr>
            <w:tcW w:w="4520" w:type="dxa"/>
            <w:vAlign w:val="center"/>
          </w:tcPr>
          <w:p w14:paraId="70706BAB">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t>灯具功率</w:t>
            </w:r>
          </w:p>
        </w:tc>
        <w:tc>
          <w:tcPr>
            <w:tcW w:w="4579" w:type="dxa"/>
            <w:vAlign w:val="center"/>
          </w:tcPr>
          <w:p w14:paraId="4D65B6D8">
            <w:pPr>
              <w:jc w:val="center"/>
              <w:rPr>
                <w:rFonts w:hint="eastAsia" w:asciiTheme="minorEastAsia" w:hAnsiTheme="minorEastAsia" w:cstheme="minorEastAsia"/>
                <w:sz w:val="24"/>
              </w:rPr>
            </w:pPr>
            <w:r>
              <w:rPr>
                <w:rFonts w:hint="eastAsia" w:asciiTheme="minorEastAsia" w:hAnsiTheme="minorEastAsia" w:cstheme="minorEastAsia"/>
                <w:sz w:val="24"/>
              </w:rPr>
              <w:t>≥180W±5W</w:t>
            </w:r>
          </w:p>
        </w:tc>
        <w:tc>
          <w:tcPr>
            <w:tcW w:w="1093" w:type="dxa"/>
            <w:vMerge w:val="continue"/>
            <w:vAlign w:val="center"/>
          </w:tcPr>
          <w:p w14:paraId="0E2C3821">
            <w:pPr>
              <w:jc w:val="center"/>
              <w:rPr>
                <w:rFonts w:hint="eastAsia" w:asciiTheme="minorEastAsia" w:hAnsiTheme="minorEastAsia" w:cstheme="minorEastAsia"/>
                <w:sz w:val="24"/>
              </w:rPr>
            </w:pPr>
          </w:p>
        </w:tc>
        <w:tc>
          <w:tcPr>
            <w:tcW w:w="1079" w:type="dxa"/>
            <w:vMerge w:val="continue"/>
            <w:vAlign w:val="center"/>
          </w:tcPr>
          <w:p w14:paraId="48AC8ABB">
            <w:pPr>
              <w:jc w:val="center"/>
              <w:rPr>
                <w:rFonts w:hint="eastAsia" w:asciiTheme="minorEastAsia" w:hAnsiTheme="minorEastAsia" w:cstheme="minorEastAsia"/>
                <w:sz w:val="24"/>
              </w:rPr>
            </w:pPr>
          </w:p>
        </w:tc>
      </w:tr>
      <w:tr w14:paraId="6994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45D3C1A4">
            <w:pPr>
              <w:jc w:val="center"/>
              <w:rPr>
                <w:rFonts w:hint="eastAsia" w:asciiTheme="minorEastAsia" w:hAnsiTheme="minorEastAsia" w:cstheme="minorEastAsia"/>
                <w:sz w:val="24"/>
              </w:rPr>
            </w:pPr>
          </w:p>
        </w:tc>
        <w:tc>
          <w:tcPr>
            <w:tcW w:w="788" w:type="dxa"/>
            <w:vMerge w:val="continue"/>
            <w:vAlign w:val="center"/>
          </w:tcPr>
          <w:p w14:paraId="0DA95111">
            <w:pPr>
              <w:jc w:val="center"/>
              <w:rPr>
                <w:rFonts w:hint="eastAsia" w:asciiTheme="minorEastAsia" w:hAnsiTheme="minorEastAsia" w:cstheme="minorEastAsia"/>
                <w:sz w:val="24"/>
              </w:rPr>
            </w:pPr>
          </w:p>
        </w:tc>
        <w:tc>
          <w:tcPr>
            <w:tcW w:w="726" w:type="dxa"/>
            <w:vMerge w:val="continue"/>
            <w:vAlign w:val="center"/>
          </w:tcPr>
          <w:p w14:paraId="07214EA6">
            <w:pPr>
              <w:jc w:val="center"/>
              <w:rPr>
                <w:rFonts w:hint="eastAsia" w:asciiTheme="minorEastAsia" w:hAnsiTheme="minorEastAsia" w:cstheme="minorEastAsia"/>
                <w:sz w:val="24"/>
              </w:rPr>
            </w:pPr>
          </w:p>
        </w:tc>
        <w:tc>
          <w:tcPr>
            <w:tcW w:w="9099" w:type="dxa"/>
            <w:gridSpan w:val="2"/>
            <w:vAlign w:val="center"/>
          </w:tcPr>
          <w:p w14:paraId="43EC0FEF">
            <w:pPr>
              <w:jc w:val="center"/>
              <w:rPr>
                <w:rFonts w:hint="eastAsia" w:asciiTheme="minorEastAsia" w:hAnsiTheme="minorEastAsia" w:cstheme="minorEastAsia"/>
                <w:sz w:val="24"/>
              </w:rPr>
            </w:pPr>
            <w:r>
              <w:rPr>
                <w:rFonts w:hint="eastAsia" w:asciiTheme="minorEastAsia" w:hAnsiTheme="minorEastAsia" w:cstheme="minorEastAsia"/>
                <w:b/>
                <w:bCs/>
                <w:sz w:val="24"/>
              </w:rPr>
              <w:t>二、主要功能要求</w:t>
            </w:r>
          </w:p>
        </w:tc>
        <w:tc>
          <w:tcPr>
            <w:tcW w:w="1093" w:type="dxa"/>
            <w:vMerge w:val="continue"/>
            <w:vAlign w:val="center"/>
          </w:tcPr>
          <w:p w14:paraId="4AADA268">
            <w:pPr>
              <w:jc w:val="center"/>
              <w:rPr>
                <w:rFonts w:hint="eastAsia" w:asciiTheme="minorEastAsia" w:hAnsiTheme="minorEastAsia" w:cstheme="minorEastAsia"/>
                <w:sz w:val="24"/>
              </w:rPr>
            </w:pPr>
          </w:p>
        </w:tc>
        <w:tc>
          <w:tcPr>
            <w:tcW w:w="1079" w:type="dxa"/>
            <w:vMerge w:val="continue"/>
            <w:vAlign w:val="center"/>
          </w:tcPr>
          <w:p w14:paraId="2794FA07">
            <w:pPr>
              <w:jc w:val="center"/>
              <w:rPr>
                <w:rFonts w:hint="eastAsia" w:asciiTheme="minorEastAsia" w:hAnsiTheme="minorEastAsia" w:cstheme="minorEastAsia"/>
                <w:sz w:val="24"/>
              </w:rPr>
            </w:pPr>
          </w:p>
        </w:tc>
      </w:tr>
      <w:tr w14:paraId="0313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09" w:type="dxa"/>
            <w:vMerge w:val="continue"/>
            <w:vAlign w:val="center"/>
          </w:tcPr>
          <w:p w14:paraId="12F3AD07">
            <w:pPr>
              <w:jc w:val="center"/>
              <w:rPr>
                <w:rFonts w:hint="eastAsia" w:asciiTheme="minorEastAsia" w:hAnsiTheme="minorEastAsia" w:cstheme="minorEastAsia"/>
                <w:sz w:val="24"/>
              </w:rPr>
            </w:pPr>
          </w:p>
        </w:tc>
        <w:tc>
          <w:tcPr>
            <w:tcW w:w="788" w:type="dxa"/>
            <w:vMerge w:val="continue"/>
            <w:vAlign w:val="center"/>
          </w:tcPr>
          <w:p w14:paraId="6A808281">
            <w:pPr>
              <w:jc w:val="center"/>
              <w:rPr>
                <w:rFonts w:hint="eastAsia" w:asciiTheme="minorEastAsia" w:hAnsiTheme="minorEastAsia" w:cstheme="minorEastAsia"/>
                <w:sz w:val="24"/>
              </w:rPr>
            </w:pPr>
          </w:p>
        </w:tc>
        <w:tc>
          <w:tcPr>
            <w:tcW w:w="726" w:type="dxa"/>
            <w:vMerge w:val="continue"/>
            <w:vAlign w:val="center"/>
          </w:tcPr>
          <w:p w14:paraId="21FADDDB">
            <w:pPr>
              <w:jc w:val="center"/>
              <w:rPr>
                <w:rFonts w:hint="eastAsia" w:asciiTheme="minorEastAsia" w:hAnsiTheme="minorEastAsia" w:cstheme="minorEastAsia"/>
                <w:sz w:val="24"/>
              </w:rPr>
            </w:pPr>
          </w:p>
        </w:tc>
        <w:tc>
          <w:tcPr>
            <w:tcW w:w="9099" w:type="dxa"/>
            <w:gridSpan w:val="2"/>
            <w:vAlign w:val="center"/>
          </w:tcPr>
          <w:p w14:paraId="2EE5A9F0">
            <w:pPr>
              <w:rPr>
                <w:rFonts w:hint="eastAsia" w:asciiTheme="minorEastAsia" w:hAnsiTheme="minorEastAsia" w:cstheme="minorEastAsia"/>
                <w:sz w:val="24"/>
              </w:rPr>
            </w:pPr>
            <w:r>
              <w:rPr>
                <w:rFonts w:hint="eastAsia" w:asciiTheme="minorEastAsia" w:hAnsiTheme="minorEastAsia" w:cstheme="minorEastAsia"/>
                <w:sz w:val="24"/>
              </w:rPr>
              <w:t>★1、整灯在105℃焊盘脚温度通过15000h的平均光通维持率＞95%。（须提供证明材料）</w:t>
            </w:r>
          </w:p>
          <w:p w14:paraId="4AC36F4B">
            <w:pPr>
              <w:pStyle w:val="2"/>
              <w:rPr>
                <w:rFonts w:hint="eastAsia"/>
                <w:lang w:val="en-US"/>
              </w:rPr>
            </w:pPr>
            <w:r>
              <w:rPr>
                <w:rFonts w:hint="eastAsia" w:asciiTheme="minorEastAsia" w:hAnsiTheme="minorEastAsia" w:cstheme="minorEastAsia"/>
              </w:rPr>
              <w:t>★</w:t>
            </w:r>
            <w:r>
              <w:rPr>
                <w:rFonts w:hint="eastAsia" w:asciiTheme="minorEastAsia" w:hAnsiTheme="minorEastAsia" w:cstheme="minorEastAsia"/>
                <w:lang w:val="en-US"/>
              </w:rPr>
              <w:t>2</w:t>
            </w:r>
            <w:r>
              <w:rPr>
                <w:rFonts w:hint="eastAsia"/>
                <w:lang w:val="en-US"/>
              </w:rPr>
              <w:t>、</w:t>
            </w:r>
            <w:r>
              <w:rPr>
                <w:rFonts w:hint="eastAsia"/>
              </w:rPr>
              <w:t>初始透镜透光</w:t>
            </w:r>
            <w:r>
              <w:rPr>
                <w:rFonts w:hint="eastAsia"/>
                <w:lang w:val="en-US"/>
              </w:rPr>
              <w:t>率保持率＞99%。</w:t>
            </w:r>
            <w:r>
              <w:rPr>
                <w:rFonts w:hint="eastAsia" w:asciiTheme="minorEastAsia" w:hAnsiTheme="minorEastAsia" w:cstheme="minorEastAsia"/>
              </w:rPr>
              <w:t>（须提供证明材料）。</w:t>
            </w:r>
          </w:p>
          <w:p w14:paraId="574E9121">
            <w:pPr>
              <w:rPr>
                <w:rFonts w:hint="eastAsia" w:asciiTheme="minorEastAsia" w:hAnsiTheme="minorEastAsia" w:cstheme="minorEastAsia"/>
                <w:sz w:val="24"/>
              </w:rPr>
            </w:pPr>
            <w:r>
              <w:rPr>
                <w:rFonts w:hint="eastAsia" w:asciiTheme="minorEastAsia" w:hAnsiTheme="minorEastAsia" w:cstheme="minorEastAsia"/>
                <w:sz w:val="24"/>
              </w:rPr>
              <w:t>★3、紫外老化500小时透镜透光率＞96%（须提供证明材料）。</w:t>
            </w:r>
          </w:p>
          <w:p w14:paraId="0A7888B2">
            <w:pPr>
              <w:rPr>
                <w:rFonts w:hint="eastAsia" w:asciiTheme="minorEastAsia" w:hAnsiTheme="minorEastAsia" w:cstheme="minorEastAsia"/>
                <w:sz w:val="24"/>
              </w:rPr>
            </w:pPr>
            <w:r>
              <w:rPr>
                <w:rFonts w:hint="eastAsia" w:asciiTheme="minorEastAsia" w:hAnsiTheme="minorEastAsia" w:cstheme="minorEastAsia"/>
                <w:sz w:val="24"/>
              </w:rPr>
              <w:t>★4、</w:t>
            </w:r>
            <w:r>
              <w:rPr>
                <w:rFonts w:hint="eastAsia" w:asciiTheme="minorEastAsia" w:hAnsiTheme="minorEastAsia" w:cstheme="minorEastAsia"/>
                <w:color w:val="000000" w:themeColor="text1"/>
                <w:sz w:val="24"/>
                <w14:textFill>
                  <w14:solidFill>
                    <w14:schemeClr w14:val="tx1"/>
                  </w14:solidFill>
                </w14:textFill>
              </w:rPr>
              <w:t>完成并通过风速从10m/s、20m/s-50m/s，最高57m/s的抗风性能测试。</w:t>
            </w:r>
            <w:r>
              <w:rPr>
                <w:rFonts w:hint="eastAsia" w:asciiTheme="minorEastAsia" w:hAnsiTheme="minorEastAsia" w:cstheme="minorEastAsia"/>
                <w:sz w:val="24"/>
              </w:rPr>
              <w:t>（须提供证明材料）</w:t>
            </w:r>
          </w:p>
          <w:p w14:paraId="661486F6">
            <w:pPr>
              <w:widowControl/>
              <w:jc w:val="left"/>
              <w:textAlignment w:val="center"/>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说明：</w:t>
            </w:r>
          </w:p>
          <w:p w14:paraId="2C33671A">
            <w:pPr>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检测报告需由国家权威检测机构或其他第三方机构出具，否则不予认可。</w:t>
            </w:r>
          </w:p>
        </w:tc>
        <w:tc>
          <w:tcPr>
            <w:tcW w:w="1093" w:type="dxa"/>
            <w:vMerge w:val="continue"/>
            <w:vAlign w:val="center"/>
          </w:tcPr>
          <w:p w14:paraId="5C026F71">
            <w:pPr>
              <w:jc w:val="center"/>
              <w:rPr>
                <w:rFonts w:hint="eastAsia" w:asciiTheme="minorEastAsia" w:hAnsiTheme="minorEastAsia" w:cstheme="minorEastAsia"/>
                <w:sz w:val="24"/>
              </w:rPr>
            </w:pPr>
          </w:p>
        </w:tc>
        <w:tc>
          <w:tcPr>
            <w:tcW w:w="1079" w:type="dxa"/>
            <w:vMerge w:val="continue"/>
            <w:vAlign w:val="center"/>
          </w:tcPr>
          <w:p w14:paraId="324746F2">
            <w:pPr>
              <w:jc w:val="center"/>
              <w:rPr>
                <w:rFonts w:hint="eastAsia" w:asciiTheme="minorEastAsia" w:hAnsiTheme="minorEastAsia" w:cstheme="minorEastAsia"/>
                <w:sz w:val="24"/>
              </w:rPr>
            </w:pPr>
          </w:p>
        </w:tc>
      </w:tr>
      <w:tr w14:paraId="6938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restart"/>
            <w:vAlign w:val="center"/>
          </w:tcPr>
          <w:p w14:paraId="5D969554">
            <w:pPr>
              <w:rPr>
                <w:rFonts w:hint="eastAsia" w:asciiTheme="minorEastAsia" w:hAnsiTheme="minorEastAsia" w:cstheme="minorEastAsia"/>
                <w:sz w:val="24"/>
              </w:rPr>
            </w:pPr>
            <w:r>
              <w:rPr>
                <w:rFonts w:hint="eastAsia" w:asciiTheme="minorEastAsia" w:hAnsiTheme="minorEastAsia" w:cstheme="minorEastAsia"/>
                <w:sz w:val="24"/>
              </w:rPr>
              <w:t>单灯控制器</w:t>
            </w:r>
          </w:p>
        </w:tc>
        <w:tc>
          <w:tcPr>
            <w:tcW w:w="788" w:type="dxa"/>
            <w:vMerge w:val="restart"/>
            <w:vAlign w:val="center"/>
          </w:tcPr>
          <w:p w14:paraId="31474694">
            <w:pPr>
              <w:jc w:val="center"/>
              <w:rPr>
                <w:rFonts w:hint="eastAsia" w:asciiTheme="minorEastAsia" w:hAnsiTheme="minorEastAsia" w:cstheme="minorEastAsia"/>
                <w:sz w:val="24"/>
              </w:rPr>
            </w:pPr>
            <w:r>
              <w:rPr>
                <w:rFonts w:hint="eastAsia" w:asciiTheme="minorEastAsia" w:hAnsiTheme="minorEastAsia" w:cstheme="minorEastAsia"/>
                <w:sz w:val="24"/>
              </w:rPr>
              <w:t>488</w:t>
            </w:r>
          </w:p>
        </w:tc>
        <w:tc>
          <w:tcPr>
            <w:tcW w:w="726" w:type="dxa"/>
            <w:vMerge w:val="restart"/>
            <w:vAlign w:val="center"/>
          </w:tcPr>
          <w:p w14:paraId="01E97E41">
            <w:pPr>
              <w:jc w:val="center"/>
              <w:rPr>
                <w:rFonts w:hint="eastAsia" w:asciiTheme="minorEastAsia" w:hAnsiTheme="minorEastAsia" w:cstheme="minorEastAsia"/>
                <w:sz w:val="24"/>
              </w:rPr>
            </w:pPr>
            <w:r>
              <w:rPr>
                <w:rFonts w:hint="eastAsia" w:asciiTheme="minorEastAsia" w:hAnsiTheme="minorEastAsia" w:cstheme="minorEastAsia"/>
                <w:sz w:val="24"/>
              </w:rPr>
              <w:t>套</w:t>
            </w:r>
          </w:p>
        </w:tc>
        <w:tc>
          <w:tcPr>
            <w:tcW w:w="9099" w:type="dxa"/>
            <w:gridSpan w:val="2"/>
            <w:vAlign w:val="center"/>
          </w:tcPr>
          <w:p w14:paraId="7037A906">
            <w:pPr>
              <w:jc w:val="center"/>
              <w:rPr>
                <w:rFonts w:hint="eastAsia" w:asciiTheme="minorEastAsia" w:hAnsiTheme="minorEastAsia" w:cstheme="minorEastAsia"/>
                <w:sz w:val="24"/>
              </w:rPr>
            </w:pPr>
            <w:r>
              <w:rPr>
                <w:rFonts w:hint="eastAsia" w:asciiTheme="minorEastAsia" w:hAnsiTheme="minorEastAsia" w:cstheme="minorEastAsia"/>
                <w:b/>
                <w:bCs/>
                <w:sz w:val="24"/>
              </w:rPr>
              <w:t>一、主要参数要求</w:t>
            </w:r>
          </w:p>
        </w:tc>
        <w:tc>
          <w:tcPr>
            <w:tcW w:w="1093" w:type="dxa"/>
            <w:vMerge w:val="restart"/>
            <w:vAlign w:val="center"/>
          </w:tcPr>
          <w:p w14:paraId="5CB45419">
            <w:pPr>
              <w:jc w:val="center"/>
              <w:rPr>
                <w:rFonts w:hint="eastAsia" w:asciiTheme="minorEastAsia" w:hAnsiTheme="minorEastAsia" w:cstheme="minorEastAsia"/>
                <w:sz w:val="24"/>
              </w:rPr>
            </w:pPr>
          </w:p>
        </w:tc>
        <w:tc>
          <w:tcPr>
            <w:tcW w:w="1079" w:type="dxa"/>
            <w:vMerge w:val="restart"/>
            <w:vAlign w:val="center"/>
          </w:tcPr>
          <w:p w14:paraId="1254A2CA">
            <w:pPr>
              <w:jc w:val="center"/>
              <w:rPr>
                <w:rFonts w:hint="eastAsia" w:asciiTheme="minorEastAsia" w:hAnsiTheme="minorEastAsia" w:cstheme="minorEastAsia"/>
                <w:sz w:val="24"/>
              </w:rPr>
            </w:pPr>
          </w:p>
        </w:tc>
      </w:tr>
      <w:tr w14:paraId="3109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40578D7B">
            <w:pPr>
              <w:jc w:val="center"/>
              <w:rPr>
                <w:rFonts w:hint="eastAsia" w:asciiTheme="minorEastAsia" w:hAnsiTheme="minorEastAsia" w:cstheme="minorEastAsia"/>
                <w:sz w:val="24"/>
              </w:rPr>
            </w:pPr>
          </w:p>
        </w:tc>
        <w:tc>
          <w:tcPr>
            <w:tcW w:w="788" w:type="dxa"/>
            <w:vMerge w:val="continue"/>
            <w:vAlign w:val="center"/>
          </w:tcPr>
          <w:p w14:paraId="15613FE4">
            <w:pPr>
              <w:jc w:val="center"/>
              <w:rPr>
                <w:rFonts w:hint="eastAsia" w:asciiTheme="minorEastAsia" w:hAnsiTheme="minorEastAsia" w:cstheme="minorEastAsia"/>
                <w:sz w:val="24"/>
              </w:rPr>
            </w:pPr>
          </w:p>
        </w:tc>
        <w:tc>
          <w:tcPr>
            <w:tcW w:w="726" w:type="dxa"/>
            <w:vMerge w:val="continue"/>
            <w:vAlign w:val="center"/>
          </w:tcPr>
          <w:p w14:paraId="5DE96C20">
            <w:pPr>
              <w:jc w:val="center"/>
              <w:rPr>
                <w:rFonts w:hint="eastAsia" w:asciiTheme="minorEastAsia" w:hAnsiTheme="minorEastAsia" w:cstheme="minorEastAsia"/>
                <w:sz w:val="24"/>
              </w:rPr>
            </w:pPr>
          </w:p>
        </w:tc>
        <w:tc>
          <w:tcPr>
            <w:tcW w:w="4520" w:type="dxa"/>
          </w:tcPr>
          <w:p w14:paraId="3E03DCEE">
            <w:pPr>
              <w:jc w:val="center"/>
              <w:rPr>
                <w:rFonts w:hint="eastAsia" w:asciiTheme="minorEastAsia" w:hAnsiTheme="minorEastAsia" w:cstheme="minorEastAsia"/>
                <w:sz w:val="24"/>
                <w:lang w:val="zh-CN"/>
              </w:rPr>
            </w:pPr>
            <w:r>
              <w:rPr>
                <w:rFonts w:hint="eastAsia" w:asciiTheme="minorEastAsia" w:hAnsiTheme="minorEastAsia" w:cstheme="minorEastAsia"/>
                <w:sz w:val="24"/>
              </w:rPr>
              <w:t>工作电压</w:t>
            </w:r>
          </w:p>
        </w:tc>
        <w:tc>
          <w:tcPr>
            <w:tcW w:w="4579" w:type="dxa"/>
          </w:tcPr>
          <w:p w14:paraId="5A4FA271">
            <w:pPr>
              <w:jc w:val="center"/>
              <w:rPr>
                <w:rFonts w:hint="eastAsia" w:asciiTheme="minorEastAsia" w:hAnsiTheme="minorEastAsia" w:cstheme="minorEastAsia"/>
                <w:sz w:val="24"/>
                <w:lang w:val="zh-CN"/>
              </w:rPr>
            </w:pPr>
            <w:r>
              <w:rPr>
                <w:rFonts w:hint="eastAsia" w:asciiTheme="minorEastAsia" w:hAnsiTheme="minorEastAsia" w:cstheme="minorEastAsia"/>
                <w:sz w:val="24"/>
              </w:rPr>
              <w:t>AC 80-305V</w:t>
            </w:r>
          </w:p>
        </w:tc>
        <w:tc>
          <w:tcPr>
            <w:tcW w:w="1093" w:type="dxa"/>
            <w:vMerge w:val="continue"/>
            <w:vAlign w:val="center"/>
          </w:tcPr>
          <w:p w14:paraId="61FC372C">
            <w:pPr>
              <w:jc w:val="center"/>
              <w:rPr>
                <w:rFonts w:hint="eastAsia" w:asciiTheme="minorEastAsia" w:hAnsiTheme="minorEastAsia" w:cstheme="minorEastAsia"/>
                <w:sz w:val="24"/>
              </w:rPr>
            </w:pPr>
          </w:p>
        </w:tc>
        <w:tc>
          <w:tcPr>
            <w:tcW w:w="1079" w:type="dxa"/>
            <w:vMerge w:val="continue"/>
            <w:vAlign w:val="center"/>
          </w:tcPr>
          <w:p w14:paraId="01691251">
            <w:pPr>
              <w:jc w:val="center"/>
              <w:rPr>
                <w:rFonts w:hint="eastAsia" w:asciiTheme="minorEastAsia" w:hAnsiTheme="minorEastAsia" w:cstheme="minorEastAsia"/>
                <w:sz w:val="24"/>
              </w:rPr>
            </w:pPr>
          </w:p>
        </w:tc>
      </w:tr>
      <w:tr w14:paraId="0D6A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10265607">
            <w:pPr>
              <w:jc w:val="center"/>
              <w:rPr>
                <w:rFonts w:hint="eastAsia" w:asciiTheme="minorEastAsia" w:hAnsiTheme="minorEastAsia" w:cstheme="minorEastAsia"/>
                <w:sz w:val="24"/>
              </w:rPr>
            </w:pPr>
          </w:p>
        </w:tc>
        <w:tc>
          <w:tcPr>
            <w:tcW w:w="788" w:type="dxa"/>
            <w:vMerge w:val="continue"/>
            <w:vAlign w:val="center"/>
          </w:tcPr>
          <w:p w14:paraId="631A47B9">
            <w:pPr>
              <w:jc w:val="center"/>
              <w:rPr>
                <w:rFonts w:hint="eastAsia" w:asciiTheme="minorEastAsia" w:hAnsiTheme="minorEastAsia" w:cstheme="minorEastAsia"/>
                <w:sz w:val="24"/>
              </w:rPr>
            </w:pPr>
          </w:p>
        </w:tc>
        <w:tc>
          <w:tcPr>
            <w:tcW w:w="726" w:type="dxa"/>
            <w:vMerge w:val="continue"/>
            <w:vAlign w:val="center"/>
          </w:tcPr>
          <w:p w14:paraId="39BD2D8C">
            <w:pPr>
              <w:jc w:val="center"/>
              <w:rPr>
                <w:rFonts w:hint="eastAsia" w:asciiTheme="minorEastAsia" w:hAnsiTheme="minorEastAsia" w:cstheme="minorEastAsia"/>
                <w:sz w:val="24"/>
              </w:rPr>
            </w:pPr>
          </w:p>
        </w:tc>
        <w:tc>
          <w:tcPr>
            <w:tcW w:w="4520" w:type="dxa"/>
          </w:tcPr>
          <w:p w14:paraId="6355E16B">
            <w:pPr>
              <w:jc w:val="center"/>
              <w:rPr>
                <w:rFonts w:hint="eastAsia" w:asciiTheme="minorEastAsia" w:hAnsiTheme="minorEastAsia" w:cstheme="minorEastAsia"/>
                <w:sz w:val="24"/>
                <w:lang w:val="zh-CN"/>
              </w:rPr>
            </w:pPr>
            <w:r>
              <w:rPr>
                <w:rFonts w:hint="eastAsia" w:asciiTheme="minorEastAsia" w:hAnsiTheme="minorEastAsia" w:cstheme="minorEastAsia"/>
                <w:sz w:val="24"/>
              </w:rPr>
              <w:t>静态功耗</w:t>
            </w:r>
          </w:p>
        </w:tc>
        <w:tc>
          <w:tcPr>
            <w:tcW w:w="4579" w:type="dxa"/>
          </w:tcPr>
          <w:p w14:paraId="5B09BF71">
            <w:pPr>
              <w:jc w:val="center"/>
              <w:rPr>
                <w:rFonts w:hint="eastAsia" w:asciiTheme="minorEastAsia" w:hAnsiTheme="minorEastAsia" w:cstheme="minorEastAsia"/>
                <w:sz w:val="24"/>
                <w:lang w:val="zh-CN"/>
              </w:rPr>
            </w:pPr>
            <w:r>
              <w:rPr>
                <w:rFonts w:hint="eastAsia" w:asciiTheme="minorEastAsia" w:hAnsiTheme="minorEastAsia" w:cstheme="minorEastAsia"/>
                <w:sz w:val="24"/>
                <w:lang w:val="zh-CN"/>
              </w:rPr>
              <w:t>＜2W</w:t>
            </w:r>
          </w:p>
        </w:tc>
        <w:tc>
          <w:tcPr>
            <w:tcW w:w="1093" w:type="dxa"/>
            <w:vMerge w:val="continue"/>
            <w:vAlign w:val="center"/>
          </w:tcPr>
          <w:p w14:paraId="694D003D">
            <w:pPr>
              <w:jc w:val="center"/>
              <w:rPr>
                <w:rFonts w:hint="eastAsia" w:asciiTheme="minorEastAsia" w:hAnsiTheme="minorEastAsia" w:cstheme="minorEastAsia"/>
                <w:sz w:val="24"/>
              </w:rPr>
            </w:pPr>
          </w:p>
        </w:tc>
        <w:tc>
          <w:tcPr>
            <w:tcW w:w="1079" w:type="dxa"/>
            <w:vMerge w:val="continue"/>
            <w:vAlign w:val="center"/>
          </w:tcPr>
          <w:p w14:paraId="674383BE">
            <w:pPr>
              <w:jc w:val="center"/>
              <w:rPr>
                <w:rFonts w:hint="eastAsia" w:asciiTheme="minorEastAsia" w:hAnsiTheme="minorEastAsia" w:cstheme="minorEastAsia"/>
                <w:sz w:val="24"/>
              </w:rPr>
            </w:pPr>
          </w:p>
        </w:tc>
      </w:tr>
      <w:tr w14:paraId="1105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63441BD5">
            <w:pPr>
              <w:jc w:val="center"/>
              <w:rPr>
                <w:rFonts w:hint="eastAsia" w:asciiTheme="minorEastAsia" w:hAnsiTheme="minorEastAsia" w:cstheme="minorEastAsia"/>
                <w:sz w:val="24"/>
              </w:rPr>
            </w:pPr>
          </w:p>
        </w:tc>
        <w:tc>
          <w:tcPr>
            <w:tcW w:w="788" w:type="dxa"/>
            <w:vMerge w:val="continue"/>
            <w:vAlign w:val="center"/>
          </w:tcPr>
          <w:p w14:paraId="0CC05AB4">
            <w:pPr>
              <w:jc w:val="center"/>
              <w:rPr>
                <w:rFonts w:hint="eastAsia" w:asciiTheme="minorEastAsia" w:hAnsiTheme="minorEastAsia" w:cstheme="minorEastAsia"/>
                <w:sz w:val="24"/>
              </w:rPr>
            </w:pPr>
          </w:p>
        </w:tc>
        <w:tc>
          <w:tcPr>
            <w:tcW w:w="726" w:type="dxa"/>
            <w:vMerge w:val="continue"/>
            <w:vAlign w:val="center"/>
          </w:tcPr>
          <w:p w14:paraId="50CA6F25">
            <w:pPr>
              <w:jc w:val="center"/>
              <w:rPr>
                <w:rFonts w:hint="eastAsia" w:asciiTheme="minorEastAsia" w:hAnsiTheme="minorEastAsia" w:cstheme="minorEastAsia"/>
                <w:sz w:val="24"/>
              </w:rPr>
            </w:pPr>
          </w:p>
        </w:tc>
        <w:tc>
          <w:tcPr>
            <w:tcW w:w="4520" w:type="dxa"/>
            <w:vAlign w:val="center"/>
          </w:tcPr>
          <w:p w14:paraId="71B23284">
            <w:pPr>
              <w:jc w:val="center"/>
              <w:rPr>
                <w:rFonts w:hint="eastAsia" w:asciiTheme="minorEastAsia" w:hAnsiTheme="minorEastAsia" w:cstheme="minorEastAsia"/>
                <w:sz w:val="24"/>
                <w:lang w:val="zh-CN"/>
              </w:rPr>
            </w:pPr>
            <w:r>
              <w:rPr>
                <w:rFonts w:hint="eastAsia" w:asciiTheme="minorEastAsia" w:hAnsiTheme="minorEastAsia" w:cstheme="minorEastAsia"/>
                <w:sz w:val="24"/>
                <w:lang w:val="zh-CN"/>
              </w:rPr>
              <w:t>工作频率</w:t>
            </w:r>
          </w:p>
        </w:tc>
        <w:tc>
          <w:tcPr>
            <w:tcW w:w="4579" w:type="dxa"/>
            <w:vAlign w:val="center"/>
          </w:tcPr>
          <w:p w14:paraId="7A6AC934">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50/60Hz</w:t>
            </w:r>
          </w:p>
        </w:tc>
        <w:tc>
          <w:tcPr>
            <w:tcW w:w="1093" w:type="dxa"/>
            <w:vMerge w:val="continue"/>
            <w:vAlign w:val="center"/>
          </w:tcPr>
          <w:p w14:paraId="61815BF6">
            <w:pPr>
              <w:jc w:val="center"/>
              <w:rPr>
                <w:rFonts w:hint="eastAsia" w:asciiTheme="minorEastAsia" w:hAnsiTheme="minorEastAsia" w:cstheme="minorEastAsia"/>
                <w:sz w:val="24"/>
              </w:rPr>
            </w:pPr>
          </w:p>
        </w:tc>
        <w:tc>
          <w:tcPr>
            <w:tcW w:w="1079" w:type="dxa"/>
            <w:vMerge w:val="continue"/>
            <w:vAlign w:val="center"/>
          </w:tcPr>
          <w:p w14:paraId="1A51510D">
            <w:pPr>
              <w:jc w:val="center"/>
              <w:rPr>
                <w:rFonts w:hint="eastAsia" w:asciiTheme="minorEastAsia" w:hAnsiTheme="minorEastAsia" w:cstheme="minorEastAsia"/>
                <w:sz w:val="24"/>
              </w:rPr>
            </w:pPr>
          </w:p>
        </w:tc>
      </w:tr>
      <w:tr w14:paraId="59B6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2B449BEA">
            <w:pPr>
              <w:jc w:val="center"/>
              <w:rPr>
                <w:rFonts w:hint="eastAsia" w:asciiTheme="minorEastAsia" w:hAnsiTheme="minorEastAsia" w:cstheme="minorEastAsia"/>
                <w:sz w:val="24"/>
              </w:rPr>
            </w:pPr>
          </w:p>
        </w:tc>
        <w:tc>
          <w:tcPr>
            <w:tcW w:w="788" w:type="dxa"/>
            <w:vMerge w:val="continue"/>
            <w:vAlign w:val="center"/>
          </w:tcPr>
          <w:p w14:paraId="0611D5DB">
            <w:pPr>
              <w:jc w:val="center"/>
              <w:rPr>
                <w:rFonts w:hint="eastAsia" w:asciiTheme="minorEastAsia" w:hAnsiTheme="minorEastAsia" w:cstheme="minorEastAsia"/>
                <w:sz w:val="24"/>
              </w:rPr>
            </w:pPr>
          </w:p>
        </w:tc>
        <w:tc>
          <w:tcPr>
            <w:tcW w:w="726" w:type="dxa"/>
            <w:vMerge w:val="continue"/>
            <w:vAlign w:val="center"/>
          </w:tcPr>
          <w:p w14:paraId="474655F5">
            <w:pPr>
              <w:jc w:val="center"/>
              <w:rPr>
                <w:rFonts w:hint="eastAsia" w:asciiTheme="minorEastAsia" w:hAnsiTheme="minorEastAsia" w:cstheme="minorEastAsia"/>
                <w:sz w:val="24"/>
              </w:rPr>
            </w:pPr>
          </w:p>
        </w:tc>
        <w:tc>
          <w:tcPr>
            <w:tcW w:w="4520" w:type="dxa"/>
            <w:vAlign w:val="center"/>
          </w:tcPr>
          <w:p w14:paraId="3B86A6E9">
            <w:pPr>
              <w:jc w:val="center"/>
              <w:rPr>
                <w:rFonts w:hint="eastAsia" w:asciiTheme="minorEastAsia" w:hAnsiTheme="minorEastAsia" w:cstheme="minorEastAsia"/>
                <w:sz w:val="24"/>
                <w:lang w:val="zh-CN"/>
              </w:rPr>
            </w:pPr>
            <w:r>
              <w:rPr>
                <w:rFonts w:hint="eastAsia" w:asciiTheme="minorEastAsia" w:hAnsiTheme="minorEastAsia" w:cstheme="minorEastAsia"/>
                <w:sz w:val="24"/>
                <w:lang w:val="zh-CN"/>
              </w:rPr>
              <w:t>继电器容量</w:t>
            </w:r>
          </w:p>
        </w:tc>
        <w:tc>
          <w:tcPr>
            <w:tcW w:w="4579" w:type="dxa"/>
            <w:vAlign w:val="center"/>
          </w:tcPr>
          <w:p w14:paraId="7CE05785">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10A</w:t>
            </w:r>
          </w:p>
        </w:tc>
        <w:tc>
          <w:tcPr>
            <w:tcW w:w="1093" w:type="dxa"/>
            <w:vMerge w:val="continue"/>
            <w:vAlign w:val="center"/>
          </w:tcPr>
          <w:p w14:paraId="3E166CE3">
            <w:pPr>
              <w:jc w:val="center"/>
              <w:rPr>
                <w:rFonts w:hint="eastAsia" w:asciiTheme="minorEastAsia" w:hAnsiTheme="minorEastAsia" w:cstheme="minorEastAsia"/>
                <w:sz w:val="24"/>
              </w:rPr>
            </w:pPr>
          </w:p>
        </w:tc>
        <w:tc>
          <w:tcPr>
            <w:tcW w:w="1079" w:type="dxa"/>
            <w:vMerge w:val="continue"/>
            <w:vAlign w:val="center"/>
          </w:tcPr>
          <w:p w14:paraId="0C49C842">
            <w:pPr>
              <w:jc w:val="center"/>
              <w:rPr>
                <w:rFonts w:hint="eastAsia" w:asciiTheme="minorEastAsia" w:hAnsiTheme="minorEastAsia" w:cstheme="minorEastAsia"/>
                <w:sz w:val="24"/>
              </w:rPr>
            </w:pPr>
          </w:p>
        </w:tc>
      </w:tr>
      <w:tr w14:paraId="3485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38F2BBC3">
            <w:pPr>
              <w:jc w:val="center"/>
              <w:rPr>
                <w:rFonts w:hint="eastAsia" w:asciiTheme="minorEastAsia" w:hAnsiTheme="minorEastAsia" w:cstheme="minorEastAsia"/>
                <w:sz w:val="24"/>
              </w:rPr>
            </w:pPr>
          </w:p>
        </w:tc>
        <w:tc>
          <w:tcPr>
            <w:tcW w:w="788" w:type="dxa"/>
            <w:vMerge w:val="continue"/>
            <w:vAlign w:val="center"/>
          </w:tcPr>
          <w:p w14:paraId="24104315">
            <w:pPr>
              <w:jc w:val="center"/>
              <w:rPr>
                <w:rFonts w:hint="eastAsia" w:asciiTheme="minorEastAsia" w:hAnsiTheme="minorEastAsia" w:cstheme="minorEastAsia"/>
                <w:sz w:val="24"/>
              </w:rPr>
            </w:pPr>
          </w:p>
        </w:tc>
        <w:tc>
          <w:tcPr>
            <w:tcW w:w="726" w:type="dxa"/>
            <w:vMerge w:val="continue"/>
            <w:vAlign w:val="center"/>
          </w:tcPr>
          <w:p w14:paraId="722E83C0">
            <w:pPr>
              <w:jc w:val="center"/>
              <w:rPr>
                <w:rFonts w:hint="eastAsia" w:asciiTheme="minorEastAsia" w:hAnsiTheme="minorEastAsia" w:cstheme="minorEastAsia"/>
                <w:sz w:val="24"/>
              </w:rPr>
            </w:pPr>
          </w:p>
        </w:tc>
        <w:tc>
          <w:tcPr>
            <w:tcW w:w="4520" w:type="dxa"/>
            <w:vAlign w:val="center"/>
          </w:tcPr>
          <w:p w14:paraId="50231FE3">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绝缘耐压L/N-PE</w:t>
            </w:r>
          </w:p>
        </w:tc>
        <w:tc>
          <w:tcPr>
            <w:tcW w:w="4579" w:type="dxa"/>
            <w:vAlign w:val="center"/>
          </w:tcPr>
          <w:p w14:paraId="14171B08">
            <w:pPr>
              <w:jc w:val="center"/>
              <w:rPr>
                <w:rFonts w:hint="eastAsia" w:asciiTheme="minorEastAsia" w:hAnsiTheme="minorEastAsia" w:cstheme="minorEastAsia"/>
                <w:sz w:val="24"/>
                <w:lang w:val="zh-CN"/>
              </w:rPr>
            </w:pPr>
            <w:r>
              <w:rPr>
                <w:rFonts w:hint="eastAsia" w:asciiTheme="minorEastAsia" w:hAnsiTheme="minorEastAsia" w:cstheme="minorEastAsia"/>
                <w:sz w:val="24"/>
              </w:rPr>
              <w:t>1.5KV</w:t>
            </w:r>
          </w:p>
        </w:tc>
        <w:tc>
          <w:tcPr>
            <w:tcW w:w="1093" w:type="dxa"/>
            <w:vMerge w:val="continue"/>
            <w:vAlign w:val="center"/>
          </w:tcPr>
          <w:p w14:paraId="2F9F100E">
            <w:pPr>
              <w:jc w:val="center"/>
              <w:rPr>
                <w:rFonts w:hint="eastAsia" w:asciiTheme="minorEastAsia" w:hAnsiTheme="minorEastAsia" w:cstheme="minorEastAsia"/>
                <w:sz w:val="24"/>
              </w:rPr>
            </w:pPr>
          </w:p>
        </w:tc>
        <w:tc>
          <w:tcPr>
            <w:tcW w:w="1079" w:type="dxa"/>
            <w:vMerge w:val="continue"/>
            <w:vAlign w:val="center"/>
          </w:tcPr>
          <w:p w14:paraId="597BDA0B">
            <w:pPr>
              <w:jc w:val="center"/>
              <w:rPr>
                <w:rFonts w:hint="eastAsia" w:asciiTheme="minorEastAsia" w:hAnsiTheme="minorEastAsia" w:cstheme="minorEastAsia"/>
                <w:sz w:val="24"/>
              </w:rPr>
            </w:pPr>
          </w:p>
        </w:tc>
      </w:tr>
      <w:tr w14:paraId="0530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01B3A85C">
            <w:pPr>
              <w:jc w:val="center"/>
              <w:rPr>
                <w:rFonts w:hint="eastAsia" w:asciiTheme="minorEastAsia" w:hAnsiTheme="minorEastAsia" w:cstheme="minorEastAsia"/>
                <w:sz w:val="24"/>
              </w:rPr>
            </w:pPr>
          </w:p>
        </w:tc>
        <w:tc>
          <w:tcPr>
            <w:tcW w:w="788" w:type="dxa"/>
            <w:vMerge w:val="continue"/>
            <w:vAlign w:val="center"/>
          </w:tcPr>
          <w:p w14:paraId="02E03ED0">
            <w:pPr>
              <w:jc w:val="center"/>
              <w:rPr>
                <w:rFonts w:hint="eastAsia" w:asciiTheme="minorEastAsia" w:hAnsiTheme="minorEastAsia" w:cstheme="minorEastAsia"/>
                <w:sz w:val="24"/>
              </w:rPr>
            </w:pPr>
          </w:p>
        </w:tc>
        <w:tc>
          <w:tcPr>
            <w:tcW w:w="726" w:type="dxa"/>
            <w:vMerge w:val="continue"/>
            <w:vAlign w:val="center"/>
          </w:tcPr>
          <w:p w14:paraId="61F8E662">
            <w:pPr>
              <w:jc w:val="center"/>
              <w:rPr>
                <w:rFonts w:hint="eastAsia" w:asciiTheme="minorEastAsia" w:hAnsiTheme="minorEastAsia" w:cstheme="minorEastAsia"/>
                <w:sz w:val="24"/>
              </w:rPr>
            </w:pPr>
          </w:p>
        </w:tc>
        <w:tc>
          <w:tcPr>
            <w:tcW w:w="4520" w:type="dxa"/>
            <w:vAlign w:val="center"/>
          </w:tcPr>
          <w:p w14:paraId="33184489">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绝缘耐压L/N-485/DIM</w:t>
            </w:r>
          </w:p>
        </w:tc>
        <w:tc>
          <w:tcPr>
            <w:tcW w:w="4579" w:type="dxa"/>
            <w:vAlign w:val="center"/>
          </w:tcPr>
          <w:p w14:paraId="0BFD5F70">
            <w:pPr>
              <w:jc w:val="center"/>
              <w:rPr>
                <w:rFonts w:hint="eastAsia" w:asciiTheme="minorEastAsia" w:hAnsiTheme="minorEastAsia" w:cstheme="minorEastAsia"/>
                <w:sz w:val="24"/>
                <w:lang w:val="zh-CN"/>
              </w:rPr>
            </w:pPr>
            <w:r>
              <w:rPr>
                <w:rFonts w:hint="eastAsia" w:asciiTheme="minorEastAsia" w:hAnsiTheme="minorEastAsia" w:cstheme="minorEastAsia"/>
                <w:sz w:val="24"/>
              </w:rPr>
              <w:t>3.75KV</w:t>
            </w:r>
          </w:p>
        </w:tc>
        <w:tc>
          <w:tcPr>
            <w:tcW w:w="1093" w:type="dxa"/>
            <w:vMerge w:val="continue"/>
            <w:vAlign w:val="center"/>
          </w:tcPr>
          <w:p w14:paraId="16442750">
            <w:pPr>
              <w:jc w:val="center"/>
              <w:rPr>
                <w:rFonts w:hint="eastAsia" w:asciiTheme="minorEastAsia" w:hAnsiTheme="minorEastAsia" w:cstheme="minorEastAsia"/>
                <w:sz w:val="24"/>
              </w:rPr>
            </w:pPr>
          </w:p>
        </w:tc>
        <w:tc>
          <w:tcPr>
            <w:tcW w:w="1079" w:type="dxa"/>
            <w:vMerge w:val="continue"/>
            <w:vAlign w:val="center"/>
          </w:tcPr>
          <w:p w14:paraId="0D450CF4">
            <w:pPr>
              <w:jc w:val="center"/>
              <w:rPr>
                <w:rFonts w:hint="eastAsia" w:asciiTheme="minorEastAsia" w:hAnsiTheme="minorEastAsia" w:cstheme="minorEastAsia"/>
                <w:sz w:val="24"/>
              </w:rPr>
            </w:pPr>
          </w:p>
        </w:tc>
      </w:tr>
      <w:tr w14:paraId="5310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64F4CBB7">
            <w:pPr>
              <w:jc w:val="center"/>
              <w:rPr>
                <w:rFonts w:hint="eastAsia" w:asciiTheme="minorEastAsia" w:hAnsiTheme="minorEastAsia" w:cstheme="minorEastAsia"/>
                <w:sz w:val="24"/>
              </w:rPr>
            </w:pPr>
          </w:p>
        </w:tc>
        <w:tc>
          <w:tcPr>
            <w:tcW w:w="788" w:type="dxa"/>
            <w:vMerge w:val="continue"/>
            <w:vAlign w:val="center"/>
          </w:tcPr>
          <w:p w14:paraId="3188ADA1">
            <w:pPr>
              <w:jc w:val="center"/>
              <w:rPr>
                <w:rFonts w:hint="eastAsia" w:asciiTheme="minorEastAsia" w:hAnsiTheme="minorEastAsia" w:cstheme="minorEastAsia"/>
                <w:sz w:val="24"/>
              </w:rPr>
            </w:pPr>
          </w:p>
        </w:tc>
        <w:tc>
          <w:tcPr>
            <w:tcW w:w="726" w:type="dxa"/>
            <w:vMerge w:val="continue"/>
            <w:vAlign w:val="center"/>
          </w:tcPr>
          <w:p w14:paraId="0ED6A378">
            <w:pPr>
              <w:jc w:val="center"/>
              <w:rPr>
                <w:rFonts w:hint="eastAsia" w:asciiTheme="minorEastAsia" w:hAnsiTheme="minorEastAsia" w:cstheme="minorEastAsia"/>
                <w:sz w:val="24"/>
              </w:rPr>
            </w:pPr>
          </w:p>
        </w:tc>
        <w:tc>
          <w:tcPr>
            <w:tcW w:w="4520" w:type="dxa"/>
            <w:vAlign w:val="center"/>
          </w:tcPr>
          <w:p w14:paraId="6BB30B21">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电源浪涌（L-PE N-PE）</w:t>
            </w:r>
          </w:p>
        </w:tc>
        <w:tc>
          <w:tcPr>
            <w:tcW w:w="4579" w:type="dxa"/>
            <w:vAlign w:val="center"/>
          </w:tcPr>
          <w:p w14:paraId="6B4F77D9">
            <w:pPr>
              <w:jc w:val="center"/>
              <w:rPr>
                <w:rFonts w:hint="eastAsia" w:asciiTheme="minorEastAsia" w:hAnsiTheme="minorEastAsia" w:cstheme="minorEastAsia"/>
                <w:sz w:val="24"/>
              </w:rPr>
            </w:pPr>
            <w:r>
              <w:rPr>
                <w:rFonts w:hint="eastAsia" w:asciiTheme="minorEastAsia" w:hAnsiTheme="minorEastAsia" w:cstheme="minorEastAsia"/>
                <w:kern w:val="0"/>
                <w:sz w:val="24"/>
              </w:rPr>
              <w:t>L-N 6.5KV/L-G N-G 10KV</w:t>
            </w:r>
          </w:p>
        </w:tc>
        <w:tc>
          <w:tcPr>
            <w:tcW w:w="1093" w:type="dxa"/>
            <w:vMerge w:val="continue"/>
            <w:vAlign w:val="center"/>
          </w:tcPr>
          <w:p w14:paraId="0E76E424">
            <w:pPr>
              <w:jc w:val="center"/>
              <w:rPr>
                <w:rFonts w:hint="eastAsia" w:asciiTheme="minorEastAsia" w:hAnsiTheme="minorEastAsia" w:cstheme="minorEastAsia"/>
                <w:sz w:val="24"/>
              </w:rPr>
            </w:pPr>
          </w:p>
        </w:tc>
        <w:tc>
          <w:tcPr>
            <w:tcW w:w="1079" w:type="dxa"/>
            <w:vMerge w:val="continue"/>
            <w:vAlign w:val="center"/>
          </w:tcPr>
          <w:p w14:paraId="1DEAE84B">
            <w:pPr>
              <w:jc w:val="center"/>
              <w:rPr>
                <w:rFonts w:hint="eastAsia" w:asciiTheme="minorEastAsia" w:hAnsiTheme="minorEastAsia" w:cstheme="minorEastAsia"/>
                <w:sz w:val="24"/>
              </w:rPr>
            </w:pPr>
          </w:p>
        </w:tc>
      </w:tr>
      <w:tr w14:paraId="343E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11D4DB02">
            <w:pPr>
              <w:jc w:val="center"/>
              <w:rPr>
                <w:rFonts w:hint="eastAsia" w:asciiTheme="minorEastAsia" w:hAnsiTheme="minorEastAsia" w:cstheme="minorEastAsia"/>
                <w:sz w:val="24"/>
              </w:rPr>
            </w:pPr>
          </w:p>
        </w:tc>
        <w:tc>
          <w:tcPr>
            <w:tcW w:w="788" w:type="dxa"/>
            <w:vMerge w:val="continue"/>
            <w:vAlign w:val="center"/>
          </w:tcPr>
          <w:p w14:paraId="007E5111">
            <w:pPr>
              <w:jc w:val="center"/>
              <w:rPr>
                <w:rFonts w:hint="eastAsia" w:asciiTheme="minorEastAsia" w:hAnsiTheme="minorEastAsia" w:cstheme="minorEastAsia"/>
                <w:sz w:val="24"/>
              </w:rPr>
            </w:pPr>
          </w:p>
        </w:tc>
        <w:tc>
          <w:tcPr>
            <w:tcW w:w="726" w:type="dxa"/>
            <w:vMerge w:val="continue"/>
            <w:vAlign w:val="center"/>
          </w:tcPr>
          <w:p w14:paraId="7B1D6555">
            <w:pPr>
              <w:jc w:val="center"/>
              <w:rPr>
                <w:rFonts w:hint="eastAsia" w:asciiTheme="minorEastAsia" w:hAnsiTheme="minorEastAsia" w:cstheme="minorEastAsia"/>
                <w:sz w:val="24"/>
              </w:rPr>
            </w:pPr>
          </w:p>
        </w:tc>
        <w:tc>
          <w:tcPr>
            <w:tcW w:w="4520" w:type="dxa"/>
            <w:vAlign w:val="center"/>
          </w:tcPr>
          <w:p w14:paraId="3BC55570">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静电</w:t>
            </w:r>
          </w:p>
        </w:tc>
        <w:tc>
          <w:tcPr>
            <w:tcW w:w="4579" w:type="dxa"/>
            <w:vAlign w:val="center"/>
          </w:tcPr>
          <w:p w14:paraId="616D7C2F">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±8KV</w:t>
            </w:r>
          </w:p>
        </w:tc>
        <w:tc>
          <w:tcPr>
            <w:tcW w:w="1093" w:type="dxa"/>
            <w:vMerge w:val="continue"/>
            <w:vAlign w:val="center"/>
          </w:tcPr>
          <w:p w14:paraId="486E7535">
            <w:pPr>
              <w:jc w:val="center"/>
              <w:rPr>
                <w:rFonts w:hint="eastAsia" w:asciiTheme="minorEastAsia" w:hAnsiTheme="minorEastAsia" w:cstheme="minorEastAsia"/>
                <w:sz w:val="24"/>
              </w:rPr>
            </w:pPr>
          </w:p>
        </w:tc>
        <w:tc>
          <w:tcPr>
            <w:tcW w:w="1079" w:type="dxa"/>
            <w:vMerge w:val="continue"/>
            <w:vAlign w:val="center"/>
          </w:tcPr>
          <w:p w14:paraId="3EA9E186">
            <w:pPr>
              <w:jc w:val="center"/>
              <w:rPr>
                <w:rFonts w:hint="eastAsia" w:asciiTheme="minorEastAsia" w:hAnsiTheme="minorEastAsia" w:cstheme="minorEastAsia"/>
                <w:sz w:val="24"/>
              </w:rPr>
            </w:pPr>
          </w:p>
        </w:tc>
      </w:tr>
      <w:tr w14:paraId="7CF2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4E5CC47F">
            <w:pPr>
              <w:jc w:val="center"/>
              <w:rPr>
                <w:rFonts w:hint="eastAsia" w:asciiTheme="minorEastAsia" w:hAnsiTheme="minorEastAsia" w:cstheme="minorEastAsia"/>
                <w:sz w:val="24"/>
              </w:rPr>
            </w:pPr>
          </w:p>
        </w:tc>
        <w:tc>
          <w:tcPr>
            <w:tcW w:w="788" w:type="dxa"/>
            <w:vMerge w:val="continue"/>
            <w:vAlign w:val="center"/>
          </w:tcPr>
          <w:p w14:paraId="4826605A">
            <w:pPr>
              <w:jc w:val="center"/>
              <w:rPr>
                <w:rFonts w:hint="eastAsia" w:asciiTheme="minorEastAsia" w:hAnsiTheme="minorEastAsia" w:cstheme="minorEastAsia"/>
                <w:sz w:val="24"/>
              </w:rPr>
            </w:pPr>
          </w:p>
        </w:tc>
        <w:tc>
          <w:tcPr>
            <w:tcW w:w="726" w:type="dxa"/>
            <w:vMerge w:val="continue"/>
            <w:vAlign w:val="center"/>
          </w:tcPr>
          <w:p w14:paraId="530D79FD">
            <w:pPr>
              <w:jc w:val="center"/>
              <w:rPr>
                <w:rFonts w:hint="eastAsia" w:asciiTheme="minorEastAsia" w:hAnsiTheme="minorEastAsia" w:cstheme="minorEastAsia"/>
                <w:sz w:val="24"/>
              </w:rPr>
            </w:pPr>
          </w:p>
        </w:tc>
        <w:tc>
          <w:tcPr>
            <w:tcW w:w="4520" w:type="dxa"/>
            <w:vAlign w:val="center"/>
          </w:tcPr>
          <w:p w14:paraId="57B052EF">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调光端驱动能力</w:t>
            </w:r>
          </w:p>
        </w:tc>
        <w:tc>
          <w:tcPr>
            <w:tcW w:w="4579" w:type="dxa"/>
            <w:vAlign w:val="center"/>
          </w:tcPr>
          <w:p w14:paraId="00211BA3">
            <w:pPr>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20mA</w:t>
            </w:r>
          </w:p>
        </w:tc>
        <w:tc>
          <w:tcPr>
            <w:tcW w:w="1093" w:type="dxa"/>
            <w:vMerge w:val="continue"/>
            <w:vAlign w:val="center"/>
          </w:tcPr>
          <w:p w14:paraId="3E9D3952">
            <w:pPr>
              <w:jc w:val="center"/>
              <w:rPr>
                <w:rFonts w:hint="eastAsia" w:asciiTheme="minorEastAsia" w:hAnsiTheme="minorEastAsia" w:cstheme="minorEastAsia"/>
                <w:sz w:val="24"/>
              </w:rPr>
            </w:pPr>
          </w:p>
        </w:tc>
        <w:tc>
          <w:tcPr>
            <w:tcW w:w="1079" w:type="dxa"/>
            <w:vMerge w:val="continue"/>
            <w:vAlign w:val="center"/>
          </w:tcPr>
          <w:p w14:paraId="79543CA5">
            <w:pPr>
              <w:jc w:val="center"/>
              <w:rPr>
                <w:rFonts w:hint="eastAsia" w:asciiTheme="minorEastAsia" w:hAnsiTheme="minorEastAsia" w:cstheme="minorEastAsia"/>
                <w:sz w:val="24"/>
              </w:rPr>
            </w:pPr>
          </w:p>
        </w:tc>
      </w:tr>
      <w:tr w14:paraId="3D47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7B83135D">
            <w:pPr>
              <w:jc w:val="center"/>
              <w:rPr>
                <w:rFonts w:hint="eastAsia" w:asciiTheme="minorEastAsia" w:hAnsiTheme="minorEastAsia" w:cstheme="minorEastAsia"/>
                <w:sz w:val="24"/>
              </w:rPr>
            </w:pPr>
          </w:p>
        </w:tc>
        <w:tc>
          <w:tcPr>
            <w:tcW w:w="788" w:type="dxa"/>
            <w:vMerge w:val="continue"/>
            <w:vAlign w:val="center"/>
          </w:tcPr>
          <w:p w14:paraId="57B08448">
            <w:pPr>
              <w:jc w:val="center"/>
              <w:rPr>
                <w:rFonts w:hint="eastAsia" w:asciiTheme="minorEastAsia" w:hAnsiTheme="minorEastAsia" w:cstheme="minorEastAsia"/>
                <w:sz w:val="24"/>
              </w:rPr>
            </w:pPr>
          </w:p>
        </w:tc>
        <w:tc>
          <w:tcPr>
            <w:tcW w:w="726" w:type="dxa"/>
            <w:vMerge w:val="continue"/>
            <w:vAlign w:val="center"/>
          </w:tcPr>
          <w:p w14:paraId="7B0E84D0">
            <w:pPr>
              <w:jc w:val="center"/>
              <w:rPr>
                <w:rFonts w:hint="eastAsia" w:asciiTheme="minorEastAsia" w:hAnsiTheme="minorEastAsia" w:cstheme="minorEastAsia"/>
                <w:sz w:val="24"/>
              </w:rPr>
            </w:pPr>
          </w:p>
        </w:tc>
        <w:tc>
          <w:tcPr>
            <w:tcW w:w="4520" w:type="dxa"/>
            <w:vAlign w:val="center"/>
          </w:tcPr>
          <w:p w14:paraId="22D26AE7">
            <w:pPr>
              <w:jc w:val="center"/>
              <w:rPr>
                <w:rFonts w:hint="eastAsia" w:asciiTheme="minorEastAsia" w:hAnsiTheme="minorEastAsia" w:cstheme="minorEastAsia"/>
                <w:sz w:val="24"/>
                <w:lang w:val="zh-CN"/>
              </w:rPr>
            </w:pPr>
            <w:r>
              <w:rPr>
                <w:rFonts w:hint="eastAsia" w:asciiTheme="minorEastAsia" w:hAnsiTheme="minorEastAsia" w:cstheme="minorEastAsia"/>
                <w:sz w:val="24"/>
              </w:rPr>
              <w:t>★</w:t>
            </w:r>
            <w:r>
              <w:rPr>
                <w:rFonts w:hint="eastAsia" w:asciiTheme="minorEastAsia" w:hAnsiTheme="minorEastAsia" w:cstheme="minorEastAsia"/>
                <w:kern w:val="0"/>
                <w:sz w:val="24"/>
              </w:rPr>
              <w:t>调光方式</w:t>
            </w:r>
          </w:p>
        </w:tc>
        <w:tc>
          <w:tcPr>
            <w:tcW w:w="4579" w:type="dxa"/>
            <w:vAlign w:val="center"/>
          </w:tcPr>
          <w:p w14:paraId="777384F6">
            <w:pPr>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1-10V/0-10V/0-5V/1-5V</w:t>
            </w:r>
          </w:p>
        </w:tc>
        <w:tc>
          <w:tcPr>
            <w:tcW w:w="1093" w:type="dxa"/>
            <w:vMerge w:val="continue"/>
            <w:vAlign w:val="center"/>
          </w:tcPr>
          <w:p w14:paraId="15922742">
            <w:pPr>
              <w:jc w:val="center"/>
              <w:rPr>
                <w:rFonts w:hint="eastAsia" w:asciiTheme="minorEastAsia" w:hAnsiTheme="minorEastAsia" w:cstheme="minorEastAsia"/>
                <w:sz w:val="24"/>
              </w:rPr>
            </w:pPr>
          </w:p>
        </w:tc>
        <w:tc>
          <w:tcPr>
            <w:tcW w:w="1079" w:type="dxa"/>
            <w:vMerge w:val="continue"/>
            <w:vAlign w:val="center"/>
          </w:tcPr>
          <w:p w14:paraId="3363729D">
            <w:pPr>
              <w:jc w:val="center"/>
              <w:rPr>
                <w:rFonts w:hint="eastAsia" w:asciiTheme="minorEastAsia" w:hAnsiTheme="minorEastAsia" w:cstheme="minorEastAsia"/>
                <w:sz w:val="24"/>
              </w:rPr>
            </w:pPr>
          </w:p>
        </w:tc>
      </w:tr>
      <w:tr w14:paraId="400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2CAE429F">
            <w:pPr>
              <w:jc w:val="center"/>
              <w:rPr>
                <w:rFonts w:hint="eastAsia" w:asciiTheme="minorEastAsia" w:hAnsiTheme="minorEastAsia" w:cstheme="minorEastAsia"/>
                <w:sz w:val="24"/>
              </w:rPr>
            </w:pPr>
          </w:p>
        </w:tc>
        <w:tc>
          <w:tcPr>
            <w:tcW w:w="788" w:type="dxa"/>
            <w:vMerge w:val="continue"/>
            <w:vAlign w:val="center"/>
          </w:tcPr>
          <w:p w14:paraId="0B8FCEF4">
            <w:pPr>
              <w:jc w:val="center"/>
              <w:rPr>
                <w:rFonts w:hint="eastAsia" w:asciiTheme="minorEastAsia" w:hAnsiTheme="minorEastAsia" w:cstheme="minorEastAsia"/>
                <w:sz w:val="24"/>
              </w:rPr>
            </w:pPr>
          </w:p>
        </w:tc>
        <w:tc>
          <w:tcPr>
            <w:tcW w:w="726" w:type="dxa"/>
            <w:vMerge w:val="continue"/>
            <w:vAlign w:val="center"/>
          </w:tcPr>
          <w:p w14:paraId="2F44F03D">
            <w:pPr>
              <w:jc w:val="center"/>
              <w:rPr>
                <w:rFonts w:hint="eastAsia" w:asciiTheme="minorEastAsia" w:hAnsiTheme="minorEastAsia" w:cstheme="minorEastAsia"/>
                <w:sz w:val="24"/>
              </w:rPr>
            </w:pPr>
          </w:p>
        </w:tc>
        <w:tc>
          <w:tcPr>
            <w:tcW w:w="4520" w:type="dxa"/>
            <w:vAlign w:val="center"/>
          </w:tcPr>
          <w:p w14:paraId="6BF36D8C">
            <w:pPr>
              <w:jc w:val="center"/>
              <w:rPr>
                <w:rFonts w:hint="eastAsia" w:asciiTheme="minorEastAsia" w:hAnsiTheme="minorEastAsia" w:cstheme="minorEastAsia"/>
                <w:sz w:val="24"/>
              </w:rPr>
            </w:pPr>
            <w:r>
              <w:rPr>
                <w:rFonts w:hint="eastAsia" w:asciiTheme="minorEastAsia" w:hAnsiTheme="minorEastAsia" w:cstheme="minorEastAsia"/>
                <w:sz w:val="24"/>
              </w:rPr>
              <w:t>灯具功率</w:t>
            </w:r>
          </w:p>
        </w:tc>
        <w:tc>
          <w:tcPr>
            <w:tcW w:w="4579" w:type="dxa"/>
            <w:vAlign w:val="center"/>
          </w:tcPr>
          <w:p w14:paraId="1F10A30E">
            <w:pPr>
              <w:jc w:val="center"/>
              <w:rPr>
                <w:rFonts w:hint="eastAsia" w:asciiTheme="minorEastAsia" w:hAnsiTheme="minorEastAsia" w:cstheme="minorEastAsia"/>
                <w:sz w:val="24"/>
                <w:lang w:val="zh-CN"/>
              </w:rPr>
            </w:pPr>
            <w:r>
              <w:rPr>
                <w:rFonts w:hint="eastAsia" w:asciiTheme="minorEastAsia" w:hAnsiTheme="minorEastAsia" w:cstheme="minorEastAsia"/>
                <w:sz w:val="24"/>
                <w:lang w:val="zh-CN"/>
              </w:rPr>
              <w:t>＜</w:t>
            </w:r>
            <w:r>
              <w:rPr>
                <w:rFonts w:hint="eastAsia" w:asciiTheme="minorEastAsia" w:hAnsiTheme="minorEastAsia" w:cstheme="minorEastAsia"/>
                <w:kern w:val="0"/>
                <w:sz w:val="24"/>
              </w:rPr>
              <w:t>600W（3A、220V）</w:t>
            </w:r>
          </w:p>
        </w:tc>
        <w:tc>
          <w:tcPr>
            <w:tcW w:w="1093" w:type="dxa"/>
            <w:vMerge w:val="continue"/>
            <w:vAlign w:val="center"/>
          </w:tcPr>
          <w:p w14:paraId="76096380">
            <w:pPr>
              <w:jc w:val="center"/>
              <w:rPr>
                <w:rFonts w:hint="eastAsia" w:asciiTheme="minorEastAsia" w:hAnsiTheme="minorEastAsia" w:cstheme="minorEastAsia"/>
                <w:sz w:val="24"/>
              </w:rPr>
            </w:pPr>
          </w:p>
        </w:tc>
        <w:tc>
          <w:tcPr>
            <w:tcW w:w="1079" w:type="dxa"/>
            <w:vMerge w:val="continue"/>
            <w:vAlign w:val="center"/>
          </w:tcPr>
          <w:p w14:paraId="7E87AC97">
            <w:pPr>
              <w:jc w:val="center"/>
              <w:rPr>
                <w:rFonts w:hint="eastAsia" w:asciiTheme="minorEastAsia" w:hAnsiTheme="minorEastAsia" w:cstheme="minorEastAsia"/>
                <w:sz w:val="24"/>
              </w:rPr>
            </w:pPr>
          </w:p>
        </w:tc>
      </w:tr>
      <w:tr w14:paraId="3FCD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72E7E7E6">
            <w:pPr>
              <w:jc w:val="center"/>
              <w:rPr>
                <w:rFonts w:hint="eastAsia" w:asciiTheme="minorEastAsia" w:hAnsiTheme="minorEastAsia" w:cstheme="minorEastAsia"/>
                <w:sz w:val="24"/>
              </w:rPr>
            </w:pPr>
          </w:p>
        </w:tc>
        <w:tc>
          <w:tcPr>
            <w:tcW w:w="788" w:type="dxa"/>
            <w:vMerge w:val="continue"/>
            <w:vAlign w:val="center"/>
          </w:tcPr>
          <w:p w14:paraId="1DB35E3C">
            <w:pPr>
              <w:jc w:val="center"/>
              <w:rPr>
                <w:rFonts w:hint="eastAsia" w:asciiTheme="minorEastAsia" w:hAnsiTheme="minorEastAsia" w:cstheme="minorEastAsia"/>
                <w:sz w:val="24"/>
              </w:rPr>
            </w:pPr>
          </w:p>
        </w:tc>
        <w:tc>
          <w:tcPr>
            <w:tcW w:w="726" w:type="dxa"/>
            <w:vMerge w:val="continue"/>
            <w:vAlign w:val="center"/>
          </w:tcPr>
          <w:p w14:paraId="4BBE20A0">
            <w:pPr>
              <w:jc w:val="center"/>
              <w:rPr>
                <w:rFonts w:hint="eastAsia" w:asciiTheme="minorEastAsia" w:hAnsiTheme="minorEastAsia" w:cstheme="minorEastAsia"/>
                <w:sz w:val="24"/>
              </w:rPr>
            </w:pPr>
          </w:p>
        </w:tc>
        <w:tc>
          <w:tcPr>
            <w:tcW w:w="4520" w:type="dxa"/>
            <w:vAlign w:val="center"/>
          </w:tcPr>
          <w:p w14:paraId="4A3A2E37">
            <w:pPr>
              <w:jc w:val="center"/>
              <w:rPr>
                <w:rFonts w:hint="eastAsia" w:asciiTheme="minorEastAsia" w:hAnsiTheme="minorEastAsia" w:cstheme="minorEastAsia"/>
                <w:sz w:val="24"/>
                <w:lang w:val="zh-CN"/>
              </w:rPr>
            </w:pPr>
            <w:r>
              <w:rPr>
                <w:rFonts w:hint="eastAsia" w:asciiTheme="minorEastAsia" w:hAnsiTheme="minorEastAsia" w:cstheme="minorEastAsia"/>
                <w:sz w:val="24"/>
              </w:rPr>
              <w:t>★</w:t>
            </w:r>
            <w:r>
              <w:rPr>
                <w:rFonts w:hint="eastAsia" w:asciiTheme="minorEastAsia" w:hAnsiTheme="minorEastAsia" w:cstheme="minorEastAsia"/>
                <w:kern w:val="0"/>
                <w:sz w:val="24"/>
              </w:rPr>
              <w:t>正常工作温度范围</w:t>
            </w:r>
          </w:p>
        </w:tc>
        <w:tc>
          <w:tcPr>
            <w:tcW w:w="4579" w:type="dxa"/>
            <w:vAlign w:val="center"/>
          </w:tcPr>
          <w:p w14:paraId="45A90327">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-25℃ ~ +60℃</w:t>
            </w:r>
          </w:p>
        </w:tc>
        <w:tc>
          <w:tcPr>
            <w:tcW w:w="1093" w:type="dxa"/>
            <w:vMerge w:val="continue"/>
            <w:vAlign w:val="center"/>
          </w:tcPr>
          <w:p w14:paraId="23875420">
            <w:pPr>
              <w:jc w:val="center"/>
              <w:rPr>
                <w:rFonts w:hint="eastAsia" w:asciiTheme="minorEastAsia" w:hAnsiTheme="minorEastAsia" w:cstheme="minorEastAsia"/>
                <w:sz w:val="24"/>
              </w:rPr>
            </w:pPr>
          </w:p>
        </w:tc>
        <w:tc>
          <w:tcPr>
            <w:tcW w:w="1079" w:type="dxa"/>
            <w:vMerge w:val="continue"/>
            <w:vAlign w:val="center"/>
          </w:tcPr>
          <w:p w14:paraId="7D89EAD3">
            <w:pPr>
              <w:jc w:val="center"/>
              <w:rPr>
                <w:rFonts w:hint="eastAsia" w:asciiTheme="minorEastAsia" w:hAnsiTheme="minorEastAsia" w:cstheme="minorEastAsia"/>
                <w:sz w:val="24"/>
              </w:rPr>
            </w:pPr>
          </w:p>
        </w:tc>
      </w:tr>
      <w:tr w14:paraId="2D56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0F6892A2">
            <w:pPr>
              <w:jc w:val="center"/>
              <w:rPr>
                <w:rFonts w:hint="eastAsia" w:asciiTheme="minorEastAsia" w:hAnsiTheme="minorEastAsia" w:cstheme="minorEastAsia"/>
                <w:sz w:val="24"/>
              </w:rPr>
            </w:pPr>
          </w:p>
          <w:p w14:paraId="29D380A9">
            <w:pPr>
              <w:pStyle w:val="2"/>
              <w:rPr>
                <w:rFonts w:hint="eastAsia" w:asciiTheme="minorEastAsia" w:hAnsiTheme="minorEastAsia" w:cstheme="minorEastAsia"/>
              </w:rPr>
            </w:pPr>
          </w:p>
          <w:p w14:paraId="7AB81AA9">
            <w:pPr>
              <w:pStyle w:val="2"/>
              <w:rPr>
                <w:rFonts w:hint="eastAsia" w:asciiTheme="minorEastAsia" w:hAnsiTheme="minorEastAsia" w:cstheme="minorEastAsia"/>
              </w:rPr>
            </w:pPr>
          </w:p>
          <w:p w14:paraId="4285ABB7">
            <w:pPr>
              <w:pStyle w:val="2"/>
              <w:rPr>
                <w:rFonts w:hint="eastAsia" w:asciiTheme="minorEastAsia" w:hAnsiTheme="minorEastAsia" w:cstheme="minorEastAsia"/>
              </w:rPr>
            </w:pPr>
          </w:p>
        </w:tc>
        <w:tc>
          <w:tcPr>
            <w:tcW w:w="788" w:type="dxa"/>
            <w:vMerge w:val="continue"/>
            <w:vAlign w:val="center"/>
          </w:tcPr>
          <w:p w14:paraId="450A0963">
            <w:pPr>
              <w:jc w:val="center"/>
              <w:rPr>
                <w:rFonts w:hint="eastAsia" w:asciiTheme="minorEastAsia" w:hAnsiTheme="minorEastAsia" w:cstheme="minorEastAsia"/>
                <w:sz w:val="24"/>
              </w:rPr>
            </w:pPr>
          </w:p>
        </w:tc>
        <w:tc>
          <w:tcPr>
            <w:tcW w:w="726" w:type="dxa"/>
            <w:vMerge w:val="continue"/>
            <w:vAlign w:val="center"/>
          </w:tcPr>
          <w:p w14:paraId="64DCA077">
            <w:pPr>
              <w:jc w:val="center"/>
              <w:rPr>
                <w:rFonts w:hint="eastAsia" w:asciiTheme="minorEastAsia" w:hAnsiTheme="minorEastAsia" w:cstheme="minorEastAsia"/>
                <w:sz w:val="24"/>
              </w:rPr>
            </w:pPr>
          </w:p>
        </w:tc>
        <w:tc>
          <w:tcPr>
            <w:tcW w:w="4520" w:type="dxa"/>
            <w:vAlign w:val="center"/>
          </w:tcPr>
          <w:p w14:paraId="28256EDD">
            <w:pPr>
              <w:jc w:val="center"/>
              <w:rPr>
                <w:rFonts w:hint="eastAsia" w:asciiTheme="minorEastAsia" w:hAnsiTheme="minorEastAsia" w:cstheme="minorEastAsia"/>
                <w:sz w:val="24"/>
                <w:lang w:val="zh-CN"/>
              </w:rPr>
            </w:pPr>
            <w:r>
              <w:rPr>
                <w:rFonts w:hint="eastAsia" w:asciiTheme="minorEastAsia" w:hAnsiTheme="minorEastAsia" w:cstheme="minorEastAsia"/>
                <w:sz w:val="24"/>
              </w:rPr>
              <w:t>★</w:t>
            </w:r>
            <w:r>
              <w:rPr>
                <w:rFonts w:hint="eastAsia" w:asciiTheme="minorEastAsia" w:hAnsiTheme="minorEastAsia" w:cstheme="minorEastAsia"/>
                <w:kern w:val="0"/>
                <w:sz w:val="24"/>
              </w:rPr>
              <w:t>极限工作温度范围</w:t>
            </w:r>
          </w:p>
        </w:tc>
        <w:tc>
          <w:tcPr>
            <w:tcW w:w="4579" w:type="dxa"/>
            <w:vAlign w:val="center"/>
          </w:tcPr>
          <w:p w14:paraId="5C538A35">
            <w:pPr>
              <w:jc w:val="center"/>
              <w:rPr>
                <w:rFonts w:hint="eastAsia" w:asciiTheme="minorEastAsia" w:hAnsiTheme="minorEastAsia" w:cstheme="minorEastAsia"/>
                <w:sz w:val="24"/>
                <w:lang w:val="zh-CN"/>
              </w:rPr>
            </w:pPr>
            <w:r>
              <w:rPr>
                <w:rFonts w:hint="eastAsia" w:asciiTheme="minorEastAsia" w:hAnsiTheme="minorEastAsia" w:cstheme="minorEastAsia"/>
                <w:kern w:val="0"/>
                <w:sz w:val="24"/>
              </w:rPr>
              <w:t>-40℃ ~ +75℃</w:t>
            </w:r>
          </w:p>
        </w:tc>
        <w:tc>
          <w:tcPr>
            <w:tcW w:w="1093" w:type="dxa"/>
            <w:vMerge w:val="continue"/>
            <w:vAlign w:val="center"/>
          </w:tcPr>
          <w:p w14:paraId="620BDF17">
            <w:pPr>
              <w:jc w:val="center"/>
              <w:rPr>
                <w:rFonts w:hint="eastAsia" w:asciiTheme="minorEastAsia" w:hAnsiTheme="minorEastAsia" w:cstheme="minorEastAsia"/>
                <w:sz w:val="24"/>
              </w:rPr>
            </w:pPr>
          </w:p>
        </w:tc>
        <w:tc>
          <w:tcPr>
            <w:tcW w:w="1079" w:type="dxa"/>
            <w:vMerge w:val="continue"/>
            <w:vAlign w:val="center"/>
          </w:tcPr>
          <w:p w14:paraId="68A626EF">
            <w:pPr>
              <w:jc w:val="center"/>
              <w:rPr>
                <w:rFonts w:hint="eastAsia" w:asciiTheme="minorEastAsia" w:hAnsiTheme="minorEastAsia" w:cstheme="minorEastAsia"/>
                <w:sz w:val="24"/>
              </w:rPr>
            </w:pPr>
          </w:p>
        </w:tc>
      </w:tr>
      <w:tr w14:paraId="7482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250BFBEA">
            <w:pPr>
              <w:jc w:val="center"/>
              <w:rPr>
                <w:rFonts w:hint="eastAsia" w:asciiTheme="minorEastAsia" w:hAnsiTheme="minorEastAsia" w:cstheme="minorEastAsia"/>
                <w:sz w:val="24"/>
              </w:rPr>
            </w:pPr>
          </w:p>
        </w:tc>
        <w:tc>
          <w:tcPr>
            <w:tcW w:w="788" w:type="dxa"/>
            <w:vMerge w:val="continue"/>
            <w:vAlign w:val="center"/>
          </w:tcPr>
          <w:p w14:paraId="475EA8E3">
            <w:pPr>
              <w:jc w:val="center"/>
              <w:rPr>
                <w:rFonts w:hint="eastAsia" w:asciiTheme="minorEastAsia" w:hAnsiTheme="minorEastAsia" w:cstheme="minorEastAsia"/>
                <w:sz w:val="24"/>
              </w:rPr>
            </w:pPr>
          </w:p>
        </w:tc>
        <w:tc>
          <w:tcPr>
            <w:tcW w:w="726" w:type="dxa"/>
            <w:vMerge w:val="continue"/>
            <w:vAlign w:val="center"/>
          </w:tcPr>
          <w:p w14:paraId="5B541D64">
            <w:pPr>
              <w:jc w:val="center"/>
              <w:rPr>
                <w:rFonts w:hint="eastAsia" w:asciiTheme="minorEastAsia" w:hAnsiTheme="minorEastAsia" w:cstheme="minorEastAsia"/>
                <w:sz w:val="24"/>
              </w:rPr>
            </w:pPr>
          </w:p>
        </w:tc>
        <w:tc>
          <w:tcPr>
            <w:tcW w:w="4520" w:type="dxa"/>
            <w:vAlign w:val="center"/>
          </w:tcPr>
          <w:p w14:paraId="32938013">
            <w:pPr>
              <w:jc w:val="center"/>
              <w:rPr>
                <w:rFonts w:hint="eastAsia" w:asciiTheme="minorEastAsia" w:hAnsiTheme="minorEastAsia" w:cstheme="minorEastAsia"/>
                <w:sz w:val="24"/>
                <w:lang w:val="zh-CN"/>
              </w:rPr>
            </w:pPr>
            <w:r>
              <w:rPr>
                <w:rFonts w:hint="eastAsia" w:asciiTheme="minorEastAsia" w:hAnsiTheme="minorEastAsia" w:cstheme="minorEastAsia"/>
                <w:sz w:val="24"/>
              </w:rPr>
              <w:t>★</w:t>
            </w:r>
            <w:r>
              <w:rPr>
                <w:rFonts w:hint="eastAsia" w:asciiTheme="minorEastAsia" w:hAnsiTheme="minorEastAsia" w:cstheme="minorEastAsia"/>
                <w:sz w:val="24"/>
                <w:lang w:val="zh-CN"/>
              </w:rPr>
              <w:t>静电放电</w:t>
            </w:r>
          </w:p>
        </w:tc>
        <w:tc>
          <w:tcPr>
            <w:tcW w:w="4579" w:type="dxa"/>
            <w:vAlign w:val="center"/>
          </w:tcPr>
          <w:p w14:paraId="4303AF6C">
            <w:pPr>
              <w:jc w:val="center"/>
              <w:rPr>
                <w:rFonts w:hint="eastAsia" w:asciiTheme="minorEastAsia" w:hAnsiTheme="minorEastAsia" w:cstheme="minorEastAsia"/>
                <w:sz w:val="24"/>
                <w:lang w:val="zh-CN"/>
              </w:rPr>
            </w:pPr>
            <w:r>
              <w:rPr>
                <w:rFonts w:hint="eastAsia" w:asciiTheme="minorEastAsia" w:hAnsiTheme="minorEastAsia" w:cstheme="minorEastAsia"/>
                <w:sz w:val="24"/>
                <w:lang w:val="zh-CN"/>
              </w:rPr>
              <w:t>IEC 61000-4-2:</w:t>
            </w:r>
          </w:p>
          <w:p w14:paraId="65F9A510">
            <w:pPr>
              <w:jc w:val="center"/>
              <w:rPr>
                <w:rFonts w:hint="eastAsia" w:asciiTheme="minorEastAsia" w:hAnsiTheme="minorEastAsia" w:cstheme="minorEastAsia"/>
                <w:sz w:val="24"/>
              </w:rPr>
            </w:pPr>
            <w:r>
              <w:rPr>
                <w:rFonts w:hint="eastAsia" w:asciiTheme="minorEastAsia" w:hAnsiTheme="minorEastAsia" w:cstheme="minorEastAsia"/>
                <w:sz w:val="24"/>
                <w:lang w:val="zh-CN"/>
              </w:rPr>
              <w:t>接触放电：±4KV;</w:t>
            </w:r>
            <w:r>
              <w:rPr>
                <w:rFonts w:hint="eastAsia" w:asciiTheme="minorEastAsia" w:hAnsiTheme="minorEastAsia" w:cstheme="minorEastAsia"/>
                <w:sz w:val="24"/>
              </w:rPr>
              <w:t xml:space="preserve"> </w:t>
            </w:r>
          </w:p>
          <w:p w14:paraId="18180A38">
            <w:pPr>
              <w:jc w:val="center"/>
              <w:rPr>
                <w:rFonts w:hint="eastAsia" w:asciiTheme="minorEastAsia" w:hAnsiTheme="minorEastAsia" w:cstheme="minorEastAsia"/>
                <w:sz w:val="24"/>
                <w:lang w:val="zh-CN"/>
              </w:rPr>
            </w:pPr>
            <w:r>
              <w:rPr>
                <w:rFonts w:hint="eastAsia" w:asciiTheme="minorEastAsia" w:hAnsiTheme="minorEastAsia" w:cstheme="minorEastAsia"/>
                <w:sz w:val="24"/>
                <w:lang w:val="zh-CN"/>
              </w:rPr>
              <w:t>空气放电：±8KV</w:t>
            </w:r>
          </w:p>
        </w:tc>
        <w:tc>
          <w:tcPr>
            <w:tcW w:w="1093" w:type="dxa"/>
            <w:vMerge w:val="continue"/>
            <w:vAlign w:val="center"/>
          </w:tcPr>
          <w:p w14:paraId="6B7433CC">
            <w:pPr>
              <w:jc w:val="center"/>
              <w:rPr>
                <w:rFonts w:hint="eastAsia" w:asciiTheme="minorEastAsia" w:hAnsiTheme="minorEastAsia" w:cstheme="minorEastAsia"/>
                <w:sz w:val="24"/>
              </w:rPr>
            </w:pPr>
          </w:p>
        </w:tc>
        <w:tc>
          <w:tcPr>
            <w:tcW w:w="1079" w:type="dxa"/>
            <w:vMerge w:val="continue"/>
            <w:vAlign w:val="center"/>
          </w:tcPr>
          <w:p w14:paraId="023EFBF7">
            <w:pPr>
              <w:jc w:val="center"/>
              <w:rPr>
                <w:rFonts w:hint="eastAsia" w:asciiTheme="minorEastAsia" w:hAnsiTheme="minorEastAsia" w:cstheme="minorEastAsia"/>
                <w:sz w:val="24"/>
              </w:rPr>
            </w:pPr>
          </w:p>
        </w:tc>
      </w:tr>
      <w:tr w14:paraId="42B5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01733AD7">
            <w:pPr>
              <w:jc w:val="center"/>
              <w:rPr>
                <w:rFonts w:hint="eastAsia" w:asciiTheme="minorEastAsia" w:hAnsiTheme="minorEastAsia" w:cstheme="minorEastAsia"/>
                <w:sz w:val="24"/>
              </w:rPr>
            </w:pPr>
          </w:p>
        </w:tc>
        <w:tc>
          <w:tcPr>
            <w:tcW w:w="788" w:type="dxa"/>
            <w:vMerge w:val="continue"/>
            <w:vAlign w:val="center"/>
          </w:tcPr>
          <w:p w14:paraId="37AEF48E">
            <w:pPr>
              <w:jc w:val="center"/>
              <w:rPr>
                <w:rFonts w:hint="eastAsia" w:asciiTheme="minorEastAsia" w:hAnsiTheme="minorEastAsia" w:cstheme="minorEastAsia"/>
                <w:sz w:val="24"/>
              </w:rPr>
            </w:pPr>
          </w:p>
        </w:tc>
        <w:tc>
          <w:tcPr>
            <w:tcW w:w="726" w:type="dxa"/>
            <w:vMerge w:val="continue"/>
            <w:vAlign w:val="center"/>
          </w:tcPr>
          <w:p w14:paraId="1FA3FB0B">
            <w:pPr>
              <w:jc w:val="center"/>
              <w:rPr>
                <w:rFonts w:hint="eastAsia" w:asciiTheme="minorEastAsia" w:hAnsiTheme="minorEastAsia" w:cstheme="minorEastAsia"/>
                <w:sz w:val="24"/>
              </w:rPr>
            </w:pPr>
          </w:p>
        </w:tc>
        <w:tc>
          <w:tcPr>
            <w:tcW w:w="9099" w:type="dxa"/>
            <w:gridSpan w:val="2"/>
            <w:vAlign w:val="center"/>
          </w:tcPr>
          <w:p w14:paraId="2123708F">
            <w:pPr>
              <w:jc w:val="center"/>
              <w:rPr>
                <w:rFonts w:hint="eastAsia" w:asciiTheme="minorEastAsia" w:hAnsiTheme="minorEastAsia" w:cstheme="minorEastAsia"/>
                <w:sz w:val="24"/>
              </w:rPr>
            </w:pPr>
            <w:r>
              <w:rPr>
                <w:rFonts w:hint="eastAsia" w:asciiTheme="minorEastAsia" w:hAnsiTheme="minorEastAsia" w:cstheme="minorEastAsia"/>
                <w:b/>
                <w:bCs/>
                <w:sz w:val="24"/>
              </w:rPr>
              <w:t>二、主要功能要求</w:t>
            </w:r>
          </w:p>
        </w:tc>
        <w:tc>
          <w:tcPr>
            <w:tcW w:w="1093" w:type="dxa"/>
            <w:vMerge w:val="continue"/>
            <w:vAlign w:val="center"/>
          </w:tcPr>
          <w:p w14:paraId="50801DB1">
            <w:pPr>
              <w:jc w:val="center"/>
              <w:rPr>
                <w:rFonts w:hint="eastAsia" w:asciiTheme="minorEastAsia" w:hAnsiTheme="minorEastAsia" w:cstheme="minorEastAsia"/>
                <w:sz w:val="24"/>
              </w:rPr>
            </w:pPr>
          </w:p>
        </w:tc>
        <w:tc>
          <w:tcPr>
            <w:tcW w:w="1079" w:type="dxa"/>
            <w:vMerge w:val="continue"/>
            <w:vAlign w:val="center"/>
          </w:tcPr>
          <w:p w14:paraId="56828ECD">
            <w:pPr>
              <w:jc w:val="center"/>
              <w:rPr>
                <w:rFonts w:hint="eastAsia" w:asciiTheme="minorEastAsia" w:hAnsiTheme="minorEastAsia" w:cstheme="minorEastAsia"/>
                <w:sz w:val="24"/>
              </w:rPr>
            </w:pPr>
          </w:p>
        </w:tc>
      </w:tr>
      <w:tr w14:paraId="2D20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0C298A52">
            <w:pPr>
              <w:jc w:val="center"/>
              <w:rPr>
                <w:rFonts w:hint="eastAsia" w:asciiTheme="minorEastAsia" w:hAnsiTheme="minorEastAsia" w:cstheme="minorEastAsia"/>
                <w:sz w:val="24"/>
              </w:rPr>
            </w:pPr>
          </w:p>
        </w:tc>
        <w:tc>
          <w:tcPr>
            <w:tcW w:w="788" w:type="dxa"/>
            <w:vMerge w:val="continue"/>
            <w:vAlign w:val="center"/>
          </w:tcPr>
          <w:p w14:paraId="0DB65559">
            <w:pPr>
              <w:jc w:val="center"/>
              <w:rPr>
                <w:rFonts w:hint="eastAsia" w:asciiTheme="minorEastAsia" w:hAnsiTheme="minorEastAsia" w:cstheme="minorEastAsia"/>
                <w:sz w:val="24"/>
              </w:rPr>
            </w:pPr>
          </w:p>
        </w:tc>
        <w:tc>
          <w:tcPr>
            <w:tcW w:w="726" w:type="dxa"/>
            <w:vMerge w:val="continue"/>
            <w:vAlign w:val="center"/>
          </w:tcPr>
          <w:p w14:paraId="438C8E33">
            <w:pPr>
              <w:jc w:val="center"/>
              <w:rPr>
                <w:rFonts w:hint="eastAsia" w:asciiTheme="minorEastAsia" w:hAnsiTheme="minorEastAsia" w:cstheme="minorEastAsia"/>
                <w:sz w:val="24"/>
              </w:rPr>
            </w:pPr>
          </w:p>
        </w:tc>
        <w:tc>
          <w:tcPr>
            <w:tcW w:w="9099" w:type="dxa"/>
            <w:gridSpan w:val="2"/>
            <w:vAlign w:val="center"/>
          </w:tcPr>
          <w:p w14:paraId="13F57AD2">
            <w:pPr>
              <w:rPr>
                <w:rFonts w:hint="eastAsia" w:asciiTheme="minorEastAsia" w:hAnsiTheme="minorEastAsia" w:cstheme="minorEastAsia"/>
                <w:sz w:val="24"/>
              </w:rPr>
            </w:pPr>
            <w:r>
              <w:rPr>
                <w:rFonts w:hint="eastAsia" w:asciiTheme="minorEastAsia" w:hAnsiTheme="minorEastAsia" w:cstheme="minorEastAsia"/>
                <w:sz w:val="24"/>
              </w:rPr>
              <w:t xml:space="preserve">1、故障报警功能：单灯控制器可自动上报故障信息到控制平台（电压异常告警，电流异常告警，温度异常告警）、控制平台也会按照设定周期查询单灯控制器的状态信息。 </w:t>
            </w:r>
          </w:p>
          <w:p w14:paraId="0C2E404E">
            <w:pPr>
              <w:rPr>
                <w:rFonts w:hint="eastAsia" w:asciiTheme="minorEastAsia" w:hAnsiTheme="minorEastAsia" w:cstheme="minorEastAsia"/>
                <w:sz w:val="24"/>
              </w:rPr>
            </w:pPr>
            <w:r>
              <w:rPr>
                <w:rFonts w:hint="eastAsia" w:asciiTheme="minorEastAsia" w:hAnsiTheme="minorEastAsia" w:cstheme="minorEastAsia"/>
                <w:sz w:val="24"/>
              </w:rPr>
              <w:t xml:space="preserve">2、★控制响应时间：单灯控制器接受平台控制后响应时间＜1s；执行完指令后自动上报状态时间＜3s。 </w:t>
            </w:r>
          </w:p>
          <w:p w14:paraId="52B57C2B">
            <w:pPr>
              <w:rPr>
                <w:rFonts w:hint="eastAsia" w:asciiTheme="minorEastAsia" w:hAnsiTheme="minorEastAsia" w:cstheme="minorEastAsia"/>
                <w:sz w:val="24"/>
              </w:rPr>
            </w:pPr>
            <w:r>
              <w:rPr>
                <w:rFonts w:hint="eastAsia" w:asciiTheme="minorEastAsia" w:hAnsiTheme="minorEastAsia" w:cstheme="minorEastAsia"/>
                <w:sz w:val="24"/>
              </w:rPr>
              <w:t xml:space="preserve">3、★程序存储功能：单灯控制器自带独立存储器，可存储每天6段调光指令（须提供证明材料）。 </w:t>
            </w:r>
          </w:p>
          <w:p w14:paraId="3B93FFAC">
            <w:pPr>
              <w:rPr>
                <w:rFonts w:hint="eastAsia" w:asciiTheme="minorEastAsia" w:hAnsiTheme="minorEastAsia" w:cstheme="minorEastAsia"/>
                <w:sz w:val="24"/>
              </w:rPr>
            </w:pPr>
            <w:r>
              <w:rPr>
                <w:rFonts w:hint="eastAsia" w:asciiTheme="minorEastAsia" w:hAnsiTheme="minorEastAsia" w:cstheme="minorEastAsia"/>
                <w:sz w:val="24"/>
              </w:rPr>
              <w:t>4、交流采样功能：单灯控制器内部集成专业电能计量芯片，能够采集灯具电流值、电压值、功率值等，用于系统分析、记录。</w:t>
            </w:r>
          </w:p>
          <w:p w14:paraId="5D928C38">
            <w:pPr>
              <w:rPr>
                <w:rFonts w:hint="eastAsia" w:asciiTheme="minorEastAsia" w:hAnsiTheme="minorEastAsia" w:cstheme="minorEastAsia"/>
                <w:sz w:val="24"/>
              </w:rPr>
            </w:pPr>
            <w:r>
              <w:rPr>
                <w:rFonts w:hint="eastAsia" w:asciiTheme="minorEastAsia" w:hAnsiTheme="minorEastAsia" w:cstheme="minorEastAsia"/>
                <w:sz w:val="24"/>
              </w:rPr>
              <w:t>5、★使用电磁隔离式采样方案，控制器输出引线和输入电源完全电气隔离（须提供证明材料）。</w:t>
            </w:r>
          </w:p>
          <w:p w14:paraId="01C9E6A3">
            <w:pPr>
              <w:rPr>
                <w:rFonts w:hint="eastAsia" w:asciiTheme="minorEastAsia" w:hAnsiTheme="minorEastAsia" w:cstheme="minorEastAsia"/>
                <w:sz w:val="24"/>
              </w:rPr>
            </w:pPr>
            <w:r>
              <w:rPr>
                <w:rFonts w:hint="eastAsia" w:asciiTheme="minorEastAsia" w:hAnsiTheme="minorEastAsia" w:cstheme="minorEastAsia"/>
                <w:sz w:val="24"/>
              </w:rPr>
              <w:t xml:space="preserve">6、★温度异常报警功能：单灯控制器可实时检测温度，异常报警（须提供证明材料）。  </w:t>
            </w:r>
          </w:p>
          <w:p w14:paraId="35074738">
            <w:pPr>
              <w:rPr>
                <w:rFonts w:hint="eastAsia" w:asciiTheme="minorEastAsia" w:hAnsiTheme="minorEastAsia" w:cstheme="minorEastAsia"/>
                <w:sz w:val="24"/>
              </w:rPr>
            </w:pPr>
            <w:r>
              <w:rPr>
                <w:rFonts w:hint="eastAsia" w:asciiTheme="minorEastAsia" w:hAnsiTheme="minorEastAsia" w:cstheme="minorEastAsia"/>
                <w:sz w:val="24"/>
              </w:rPr>
              <w:t>7、远程升级功能：单灯控制器内置先进的处理器和大容量存储器，支持控制器软件远程升级功能。</w:t>
            </w:r>
          </w:p>
          <w:p w14:paraId="1C7C3C45">
            <w:pPr>
              <w:rPr>
                <w:rFonts w:hint="eastAsia" w:asciiTheme="minorEastAsia" w:hAnsiTheme="minorEastAsia" w:cstheme="minorEastAsia"/>
                <w:sz w:val="24"/>
              </w:rPr>
            </w:pPr>
            <w:r>
              <w:rPr>
                <w:rFonts w:hint="eastAsia" w:asciiTheme="minorEastAsia" w:hAnsiTheme="minorEastAsia" w:cstheme="minorEastAsia"/>
                <w:sz w:val="24"/>
              </w:rPr>
              <w:t>8、受控开关灯:支持 1-2 路(灯头)的开关控制，具有受控开关灯的功能，能根据控制中心或云平台发送的命令开关灯。</w:t>
            </w:r>
          </w:p>
          <w:p w14:paraId="61FD02EF">
            <w:pPr>
              <w:rPr>
                <w:rFonts w:hint="eastAsia" w:asciiTheme="minorEastAsia" w:hAnsiTheme="minorEastAsia" w:cstheme="minorEastAsia"/>
                <w:sz w:val="24"/>
              </w:rPr>
            </w:pPr>
            <w:r>
              <w:rPr>
                <w:rFonts w:hint="eastAsia" w:asciiTheme="minorEastAsia" w:hAnsiTheme="minorEastAsia" w:cstheme="minorEastAsia"/>
                <w:sz w:val="24"/>
              </w:rPr>
              <w:t>9、单灯控制器可按设定的经纬度进行开关灯控制，时间表自动控制灯具供电回路的电源通断和控制灯具的照度变化，控制范围0%-100%。</w:t>
            </w:r>
          </w:p>
          <w:p w14:paraId="4B4152B8">
            <w:pPr>
              <w:pStyle w:val="2"/>
              <w:rPr>
                <w:rFonts w:hint="eastAsia"/>
                <w:lang w:val="en-US" w:bidi="ar-SA"/>
              </w:rPr>
            </w:pPr>
            <w:r>
              <w:rPr>
                <w:rFonts w:hint="eastAsia"/>
                <w:lang w:val="en-US" w:bidi="ar-SA"/>
              </w:rPr>
              <w:t>说明：</w:t>
            </w:r>
          </w:p>
          <w:p w14:paraId="2E2B5E22">
            <w:pPr>
              <w:pStyle w:val="2"/>
              <w:rPr>
                <w:rFonts w:hint="eastAsia"/>
                <w:lang w:val="en-US" w:bidi="ar-SA"/>
              </w:rPr>
            </w:pPr>
            <w:r>
              <w:rPr>
                <w:rFonts w:hint="eastAsia" w:asciiTheme="minorEastAsia" w:hAnsiTheme="minorEastAsia" w:cstheme="minorEastAsia"/>
                <w:color w:val="000000" w:themeColor="text1"/>
                <w14:textFill>
                  <w14:solidFill>
                    <w14:schemeClr w14:val="tx1"/>
                  </w14:solidFill>
                </w14:textFill>
              </w:rPr>
              <w:t>检测报告需由国家权威检测机构或其他第三方检测机构</w:t>
            </w:r>
            <w:r>
              <w:rPr>
                <w:rFonts w:hint="eastAsia" w:asciiTheme="minorEastAsia" w:hAnsiTheme="minorEastAsia" w:cstheme="minorEastAsia"/>
                <w:color w:val="000000" w:themeColor="text1"/>
                <w:lang w:val="en-US"/>
                <w14:textFill>
                  <w14:solidFill>
                    <w14:schemeClr w14:val="tx1"/>
                  </w14:solidFill>
                </w14:textFill>
              </w:rPr>
              <w:t>出具</w:t>
            </w:r>
            <w:r>
              <w:rPr>
                <w:rFonts w:hint="eastAsia" w:asciiTheme="minorEastAsia" w:hAnsiTheme="minorEastAsia" w:cstheme="minorEastAsia"/>
                <w:color w:val="000000" w:themeColor="text1"/>
                <w14:textFill>
                  <w14:solidFill>
                    <w14:schemeClr w14:val="tx1"/>
                  </w14:solidFill>
                </w14:textFill>
              </w:rPr>
              <w:t>，否则不予认可。</w:t>
            </w:r>
          </w:p>
        </w:tc>
        <w:tc>
          <w:tcPr>
            <w:tcW w:w="1093" w:type="dxa"/>
            <w:vMerge w:val="continue"/>
            <w:vAlign w:val="center"/>
          </w:tcPr>
          <w:p w14:paraId="210D72BA">
            <w:pPr>
              <w:jc w:val="center"/>
              <w:rPr>
                <w:rFonts w:hint="eastAsia" w:asciiTheme="minorEastAsia" w:hAnsiTheme="minorEastAsia" w:cstheme="minorEastAsia"/>
                <w:sz w:val="24"/>
              </w:rPr>
            </w:pPr>
          </w:p>
        </w:tc>
        <w:tc>
          <w:tcPr>
            <w:tcW w:w="1079" w:type="dxa"/>
            <w:vMerge w:val="continue"/>
            <w:vAlign w:val="center"/>
          </w:tcPr>
          <w:p w14:paraId="1EF3C643">
            <w:pPr>
              <w:jc w:val="center"/>
              <w:rPr>
                <w:rFonts w:hint="eastAsia" w:asciiTheme="minorEastAsia" w:hAnsiTheme="minorEastAsia" w:cstheme="minorEastAsia"/>
                <w:sz w:val="24"/>
              </w:rPr>
            </w:pPr>
          </w:p>
        </w:tc>
      </w:tr>
      <w:tr w14:paraId="4B67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1209" w:type="dxa"/>
            <w:vAlign w:val="center"/>
          </w:tcPr>
          <w:p w14:paraId="21342FA4">
            <w:pPr>
              <w:jc w:val="center"/>
              <w:rPr>
                <w:rFonts w:hint="eastAsia" w:asciiTheme="minorEastAsia" w:hAnsiTheme="minorEastAsia" w:cstheme="minorEastAsia"/>
                <w:sz w:val="24"/>
              </w:rPr>
            </w:pPr>
            <w:r>
              <w:rPr>
                <w:rFonts w:hint="eastAsia" w:asciiTheme="minorEastAsia" w:hAnsiTheme="minorEastAsia" w:cstheme="minorEastAsia"/>
                <w:sz w:val="24"/>
              </w:rPr>
              <w:t>灯联网平台</w:t>
            </w:r>
          </w:p>
        </w:tc>
        <w:tc>
          <w:tcPr>
            <w:tcW w:w="788" w:type="dxa"/>
            <w:vAlign w:val="center"/>
          </w:tcPr>
          <w:p w14:paraId="6AAE1E61">
            <w:pPr>
              <w:jc w:val="center"/>
              <w:rPr>
                <w:rFonts w:hint="eastAsia" w:asciiTheme="minorEastAsia" w:hAnsiTheme="minorEastAsia" w:cstheme="minorEastAsia"/>
                <w:sz w:val="24"/>
              </w:rPr>
            </w:pPr>
            <w:r>
              <w:rPr>
                <w:rFonts w:hint="eastAsia" w:asciiTheme="minorEastAsia" w:hAnsiTheme="minorEastAsia" w:cstheme="minorEastAsia"/>
                <w:sz w:val="24"/>
              </w:rPr>
              <w:t>1</w:t>
            </w:r>
          </w:p>
        </w:tc>
        <w:tc>
          <w:tcPr>
            <w:tcW w:w="726" w:type="dxa"/>
            <w:vAlign w:val="center"/>
          </w:tcPr>
          <w:p w14:paraId="3CE40C3C">
            <w:pPr>
              <w:jc w:val="center"/>
              <w:rPr>
                <w:rFonts w:hint="eastAsia" w:asciiTheme="minorEastAsia" w:hAnsiTheme="minorEastAsia" w:cstheme="minorEastAsia"/>
                <w:sz w:val="24"/>
              </w:rPr>
            </w:pPr>
            <w:r>
              <w:rPr>
                <w:rFonts w:hint="eastAsia" w:asciiTheme="minorEastAsia" w:hAnsiTheme="minorEastAsia" w:cstheme="minorEastAsia"/>
                <w:sz w:val="24"/>
              </w:rPr>
              <w:t>项</w:t>
            </w:r>
          </w:p>
        </w:tc>
        <w:tc>
          <w:tcPr>
            <w:tcW w:w="9099" w:type="dxa"/>
            <w:gridSpan w:val="2"/>
            <w:vAlign w:val="center"/>
          </w:tcPr>
          <w:p w14:paraId="67F7982E">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1、PC端</w:t>
            </w:r>
          </w:p>
          <w:p w14:paraId="006E7757">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1.1登录：用户账号密码登录，密码采用不可逆加密算法。</w:t>
            </w:r>
          </w:p>
          <w:p w14:paraId="4D5C04AA">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★1.2首页：展示系统运行数据，包括能耗数据、资产统计、资产分析、运维数据、实时运行数据、地图统计数据等。</w:t>
            </w:r>
            <w:r>
              <w:rPr>
                <w:rFonts w:hint="eastAsia" w:asciiTheme="minorEastAsia" w:hAnsiTheme="minorEastAsia" w:cstheme="minorEastAsia"/>
              </w:rPr>
              <w:t>（须提供证明材料）</w:t>
            </w:r>
          </w:p>
          <w:p w14:paraId="633F882F">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1.3GIS地图：数字地图展示全部资产设备，包括配电设施、监控箱、灯杆、单灯、灯具等，并支持按照设备类型统计资产数量。支持按照资产分类展示图例。地图上支持按照关键字搜索资产数据，支持搜索位置并在地图上定位。</w:t>
            </w:r>
            <w:r>
              <w:rPr>
                <w:rFonts w:hint="eastAsia" w:asciiTheme="minorEastAsia" w:hAnsiTheme="minorEastAsia" w:cstheme="minorEastAsia"/>
              </w:rPr>
              <w:t>（须提供证明材料）</w:t>
            </w:r>
          </w:p>
          <w:p w14:paraId="4B876BAF">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1.4设备管理：平台具备定义统一标准物模型的能力，支持接入市场上主流灯控品牌的物联设备并在平台统一管理，不会存在品牌功能差异。提供物模型的物联网管理平台至少已具备6个行业协议标准和10个物模型定义能力，且均有线上设备在运行。支持设备的增删改查，批量导入导出等功能。</w:t>
            </w:r>
            <w:r>
              <w:rPr>
                <w:rFonts w:hint="eastAsia" w:asciiTheme="minorEastAsia" w:hAnsiTheme="minorEastAsia" w:cstheme="minorEastAsia"/>
              </w:rPr>
              <w:t>（须提供证明材料）</w:t>
            </w:r>
          </w:p>
          <w:p w14:paraId="7E12E5C5">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1.5策略配置：配置开关灯策略，支持光控和时控相互结合的方式按照策略内容执行开关灯；配置调光时间表，设置多时段调光，按照调光时间表执行调光，支持批量下发调光策略，统计策略执行情况和明细表。</w:t>
            </w:r>
            <w:r>
              <w:rPr>
                <w:rFonts w:hint="eastAsia" w:asciiTheme="minorEastAsia" w:hAnsiTheme="minorEastAsia" w:cstheme="minorEastAsia"/>
              </w:rPr>
              <w:t>（须提供证明材料）</w:t>
            </w:r>
          </w:p>
          <w:p w14:paraId="41C5B595">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★1.6工程转资产：移动端支持授权工程队录入改造工程相关的资产数据，包括配电箱、回路监控箱、单灯控制器、灯杆、灯具等，配置工作流，由管理员审核，审核通过后可直接纳入资产库。</w:t>
            </w:r>
            <w:r>
              <w:rPr>
                <w:rFonts w:hint="eastAsia" w:asciiTheme="minorEastAsia" w:hAnsiTheme="minorEastAsia" w:cstheme="minorEastAsia"/>
              </w:rPr>
              <w:t>（须提供证明材料）</w:t>
            </w:r>
          </w:p>
          <w:p w14:paraId="45985C5F">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1.7调度系统：监控箱指挥调度页面和路灯亮化指挥调度页面，支持展示监控箱和路灯的列表、地图，按照区域批量远程控制监控箱的开关状态，按照道路批量远程控制路灯的亮灯状态，支持集控和单灯控的运行数据、校时等操作。地图上显示监控箱的运行状态包括正常，故障等，显示路灯的亮灯状态。支持查看详情和历史运行数据、告警数据，支持在详情中编辑基础信息，详情页面显示灯杆的效果图，标识路灯的运行状态，显示路灯的调光时间表和挂载设备。</w:t>
            </w:r>
            <w:r>
              <w:rPr>
                <w:rFonts w:hint="eastAsia" w:asciiTheme="minorEastAsia" w:hAnsiTheme="minorEastAsia" w:cstheme="minorEastAsia"/>
              </w:rPr>
              <w:t>（须提供证明材料）</w:t>
            </w:r>
          </w:p>
          <w:p w14:paraId="28E0F443">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★1.8AI调光：系统具备根据人流变化趋势按需调光的 AI 创新应用，可根据调光区域定义调光策略，不同区域支持使用不同策略，并生成运行分析数据。</w:t>
            </w:r>
            <w:r>
              <w:rPr>
                <w:rFonts w:hint="eastAsia" w:asciiTheme="minorEastAsia" w:hAnsiTheme="minorEastAsia" w:cstheme="minorEastAsia"/>
              </w:rPr>
              <w:t>（须提供证明材料）</w:t>
            </w:r>
          </w:p>
          <w:p w14:paraId="3DF129FD">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★1.9运维管理：包括巡检计划设定、巡检任务生成、执行巡检任务时可创建工单，监控系统可一键生成工单，系统可自定义工单审批工作流，记录工单流转过程。</w:t>
            </w:r>
            <w:r>
              <w:rPr>
                <w:rFonts w:hint="eastAsia" w:asciiTheme="minorEastAsia" w:hAnsiTheme="minorEastAsia" w:cstheme="minorEastAsia"/>
              </w:rPr>
              <w:t>（须提供证明材料）</w:t>
            </w:r>
          </w:p>
          <w:p w14:paraId="5943AA8F">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1.10系统管理：包括用户管理、权限管理、角色管理、岗位管理、字典管理、日志管理、通知公告、个人消息等功能。</w:t>
            </w:r>
          </w:p>
          <w:p w14:paraId="1F7AE699">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1.11 脱敏设置：对系统中的关键信息，如配置、密码、账号等进行加密显示。</w:t>
            </w:r>
          </w:p>
          <w:p w14:paraId="709389B2">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★1.12金库管理：对系统中敏感信息增加导出审核功能，通过给管理员发送验证码验证后才能导出数据，如设备相关数据等。</w:t>
            </w:r>
            <w:r>
              <w:rPr>
                <w:rFonts w:hint="eastAsia" w:asciiTheme="minorEastAsia" w:hAnsiTheme="minorEastAsia" w:cstheme="minorEastAsia"/>
              </w:rPr>
              <w:t>（须提供证明材料）</w:t>
            </w:r>
          </w:p>
          <w:p w14:paraId="4DA2245F">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 xml:space="preserve"> ★1.13渠道管理：支持配置数据接口，提供可配置的模块给上级单位提供标准数据。</w:t>
            </w:r>
            <w:r>
              <w:rPr>
                <w:rFonts w:hint="eastAsia" w:asciiTheme="minorEastAsia" w:hAnsiTheme="minorEastAsia" w:cstheme="minorEastAsia"/>
              </w:rPr>
              <w:t>（须提供证明材料）</w:t>
            </w:r>
          </w:p>
          <w:p w14:paraId="0395DECA">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2、小程序</w:t>
            </w:r>
          </w:p>
          <w:p w14:paraId="4EFD1430">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2.1登录：支持账号密码和手机号登录。</w:t>
            </w:r>
          </w:p>
          <w:p w14:paraId="4B23CCA4">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★2.2首页：展示待办事项、开关灯时间（光照值和开关值）、天气、运行分析数据、物联设备在线率等。</w:t>
            </w:r>
            <w:r>
              <w:rPr>
                <w:rFonts w:hint="eastAsia" w:asciiTheme="minorEastAsia" w:hAnsiTheme="minorEastAsia" w:cstheme="minorEastAsia"/>
              </w:rPr>
              <w:t>（须提供证明材料）</w:t>
            </w:r>
          </w:p>
          <w:p w14:paraId="4E7DD252">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2.3工作台：包括待办、工单管理、巡视管理、工程转资、监控箱管理、街道管理、配电设施管理、监控箱管理、灯杆管理、灯具管理、单灯管理、井盖管理、警报列表等功能；支持在移动端远程控灯，包括集控远程开关灯、召测、单灯控的远程开关、调光等功能。</w:t>
            </w:r>
            <w:r>
              <w:rPr>
                <w:rFonts w:hint="eastAsia" w:asciiTheme="minorEastAsia" w:hAnsiTheme="minorEastAsia" w:cstheme="minorEastAsia"/>
              </w:rPr>
              <w:t>（须提供证明材料）</w:t>
            </w:r>
          </w:p>
          <w:p w14:paraId="590997DC">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★2.4街道管理：可按照街道展示路灯数据列表和地图，统计每条道路的资产数据，按照道路查看路灯数据列表和路灯的用电数据，支持按照街道批量开关灯和调光，地图上选择灯杆开关灯调光等功能。</w:t>
            </w:r>
            <w:r>
              <w:rPr>
                <w:rFonts w:hint="eastAsia" w:asciiTheme="minorEastAsia" w:hAnsiTheme="minorEastAsia" w:cstheme="minorEastAsia"/>
              </w:rPr>
              <w:t>（须提供证明材料）</w:t>
            </w:r>
          </w:p>
          <w:p w14:paraId="412D49E5">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2.4资产地图：聚合显示资产数据，在地图上支持拖动，放大，可查看资产详情，包括回路监控箱、配电箱、灯杆、灯具、单灯等资产。</w:t>
            </w:r>
          </w:p>
          <w:p w14:paraId="1D350AE8">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2.5个人中心：包括账号信息、系统设置、隐私信息、问题反馈、退出登录等。</w:t>
            </w:r>
          </w:p>
          <w:p w14:paraId="71C068AB">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2.6资产数据录入：小程序可设置资产名称自动生成规则，针对于监控箱、灯杆、灯具等资产由系统自动生成名称，灯杆名称按照道路名称+编号自动生成，灯具名称按照灯杆名称+编号自动生成，监控箱名称按照配电箱名称自动生成等。</w:t>
            </w:r>
            <w:r>
              <w:rPr>
                <w:rFonts w:hint="eastAsia" w:asciiTheme="minorEastAsia" w:hAnsiTheme="minorEastAsia" w:cstheme="minorEastAsia"/>
              </w:rPr>
              <w:t>（须提供证明材料）</w:t>
            </w:r>
          </w:p>
          <w:p w14:paraId="75A7788D">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3、安全要求</w:t>
            </w:r>
          </w:p>
          <w:p w14:paraId="0881688C">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3.1数据存储方式</w:t>
            </w:r>
          </w:p>
          <w:p w14:paraId="5A55F6E3">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3.1.1用户密码采用不可逆算法加密。</w:t>
            </w:r>
          </w:p>
          <w:p w14:paraId="2ED5C5BF">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3.1.2针对数据库和数据文件应设计不同的安全管理措施，如数据的加密存储策略、分级分类存储机制、数据的访问控制策略和规程等。</w:t>
            </w:r>
          </w:p>
          <w:p w14:paraId="3B27D716">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3.1.3分级分类4级数据必须加密并对密钥做好防控，分级分类3级数据加密，对3、4级数据操作场景均需纳入金库管控。</w:t>
            </w:r>
          </w:p>
          <w:p w14:paraId="621DD1BC">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3.2网络安全</w:t>
            </w:r>
          </w:p>
          <w:p w14:paraId="578C8C48">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3.2.1WEB等接口类服务器应与数据库服务器处于不同区域隔离。</w:t>
            </w:r>
          </w:p>
          <w:p w14:paraId="5C87AEAD">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3.2.2对外边界部署防火墙进行隔离。</w:t>
            </w:r>
          </w:p>
          <w:p w14:paraId="68AE1BE5">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3.2.3业务对外提供服务时，只开放实现业务功能所必须的网络服务端口，原则上采用1024以上的大端口进行数据传输，不使用缺省端口。</w:t>
            </w:r>
          </w:p>
          <w:p w14:paraId="5C9C1898">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3.2.4后台维护类端口21、22、23、1433、1521、3306、3389、5432、6000、7001、11211、27017等禁止面向公共互联网开放。</w:t>
            </w:r>
          </w:p>
          <w:p w14:paraId="18EDF397">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3.3业务安全</w:t>
            </w:r>
          </w:p>
          <w:p w14:paraId="48C8BBED">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3.3.1应具备hash摘要、数据加密、会话加密（添加时间戳、随机数）等防护技术，防止篡改、伪造、重放等攻击。</w:t>
            </w:r>
          </w:p>
          <w:p w14:paraId="0A308A52">
            <w:pPr>
              <w:pStyle w:val="2"/>
              <w:rPr>
                <w:rFonts w:hint="eastAsia" w:asciiTheme="minorEastAsia" w:hAnsiTheme="minorEastAsia" w:cstheme="minorEastAsia"/>
                <w:lang w:val="en-US" w:bidi="ar-SA"/>
              </w:rPr>
            </w:pPr>
            <w:r>
              <w:rPr>
                <w:rFonts w:hint="eastAsia" w:asciiTheme="minorEastAsia" w:hAnsiTheme="minorEastAsia" w:cstheme="minorEastAsia"/>
                <w:lang w:val="en-US" w:bidi="ar-SA"/>
              </w:rPr>
              <w:t>3.3.2用户会话应设置失效时间，账号在无动作下，30分钟会话失效。</w:t>
            </w:r>
          </w:p>
          <w:p w14:paraId="3B7CDCDA">
            <w:pPr>
              <w:widowControl/>
              <w:jc w:val="left"/>
              <w:textAlignment w:val="center"/>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说明：</w:t>
            </w:r>
          </w:p>
          <w:p w14:paraId="5F6A6E81">
            <w:pPr>
              <w:pStyle w:val="2"/>
              <w:rPr>
                <w:rFonts w:hint="eastAsia" w:asciiTheme="minorEastAsia" w:hAnsiTheme="minorEastAsia" w:cstheme="minorEastAsia"/>
                <w:lang w:val="en-US" w:bidi="ar-SA"/>
              </w:rPr>
            </w:pPr>
            <w:r>
              <w:rPr>
                <w:rFonts w:hint="eastAsia" w:asciiTheme="minorEastAsia" w:hAnsiTheme="minorEastAsia" w:cstheme="minorEastAsia"/>
                <w:color w:val="000000" w:themeColor="text1"/>
                <w14:textFill>
                  <w14:solidFill>
                    <w14:schemeClr w14:val="tx1"/>
                  </w14:solidFill>
                </w14:textFill>
              </w:rPr>
              <w:t>以上功能证明材料需提供平台功能截图和演示账号。</w:t>
            </w:r>
          </w:p>
        </w:tc>
        <w:tc>
          <w:tcPr>
            <w:tcW w:w="1093" w:type="dxa"/>
            <w:vAlign w:val="center"/>
          </w:tcPr>
          <w:p w14:paraId="580E593C">
            <w:pPr>
              <w:jc w:val="center"/>
              <w:rPr>
                <w:rFonts w:hint="eastAsia" w:asciiTheme="minorEastAsia" w:hAnsiTheme="minorEastAsia" w:cstheme="minorEastAsia"/>
                <w:sz w:val="24"/>
              </w:rPr>
            </w:pPr>
          </w:p>
        </w:tc>
        <w:tc>
          <w:tcPr>
            <w:tcW w:w="1079" w:type="dxa"/>
            <w:vAlign w:val="center"/>
          </w:tcPr>
          <w:p w14:paraId="4F16AD33">
            <w:pPr>
              <w:jc w:val="center"/>
              <w:rPr>
                <w:rFonts w:hint="eastAsia" w:asciiTheme="minorEastAsia" w:hAnsiTheme="minorEastAsia" w:cstheme="minorEastAsia"/>
                <w:sz w:val="24"/>
              </w:rPr>
            </w:pPr>
          </w:p>
        </w:tc>
      </w:tr>
      <w:tr w14:paraId="2FC4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09" w:type="dxa"/>
            <w:vAlign w:val="center"/>
          </w:tcPr>
          <w:p w14:paraId="3DC4923E">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安装</w:t>
            </w:r>
          </w:p>
        </w:tc>
        <w:tc>
          <w:tcPr>
            <w:tcW w:w="788" w:type="dxa"/>
            <w:vAlign w:val="center"/>
          </w:tcPr>
          <w:p w14:paraId="69F89F7B">
            <w:pPr>
              <w:jc w:val="center"/>
              <w:rPr>
                <w:rFonts w:hint="eastAsia" w:asciiTheme="minorEastAsia" w:hAnsiTheme="minorEastAsia" w:cstheme="minorEastAsia"/>
                <w:sz w:val="24"/>
              </w:rPr>
            </w:pPr>
            <w:r>
              <w:rPr>
                <w:rFonts w:hint="eastAsia" w:asciiTheme="minorEastAsia" w:hAnsiTheme="minorEastAsia" w:cstheme="minorEastAsia"/>
                <w:sz w:val="24"/>
              </w:rPr>
              <w:t>1</w:t>
            </w:r>
          </w:p>
        </w:tc>
        <w:tc>
          <w:tcPr>
            <w:tcW w:w="726" w:type="dxa"/>
            <w:vAlign w:val="center"/>
          </w:tcPr>
          <w:p w14:paraId="02950C83">
            <w:pPr>
              <w:jc w:val="center"/>
              <w:rPr>
                <w:rFonts w:hint="eastAsia" w:asciiTheme="minorEastAsia" w:hAnsiTheme="minorEastAsia" w:cstheme="minorEastAsia"/>
                <w:sz w:val="24"/>
              </w:rPr>
            </w:pPr>
            <w:r>
              <w:rPr>
                <w:rFonts w:hint="eastAsia" w:asciiTheme="minorEastAsia" w:hAnsiTheme="minorEastAsia" w:cstheme="minorEastAsia"/>
                <w:sz w:val="24"/>
              </w:rPr>
              <w:t>项</w:t>
            </w:r>
          </w:p>
        </w:tc>
        <w:tc>
          <w:tcPr>
            <w:tcW w:w="9099" w:type="dxa"/>
            <w:gridSpan w:val="2"/>
            <w:vAlign w:val="center"/>
          </w:tcPr>
          <w:p w14:paraId="54C14EF2">
            <w:pPr>
              <w:jc w:val="center"/>
              <w:rPr>
                <w:rFonts w:hint="eastAsia" w:asciiTheme="minorEastAsia" w:hAnsiTheme="minorEastAsia" w:cstheme="minorEastAsia"/>
                <w:sz w:val="24"/>
              </w:rPr>
            </w:pPr>
            <w:r>
              <w:rPr>
                <w:rFonts w:hint="eastAsia" w:asciiTheme="minorEastAsia" w:hAnsiTheme="minorEastAsia" w:cstheme="minorEastAsia"/>
                <w:sz w:val="24"/>
              </w:rPr>
              <w:t>人工、机械、保险费用、辅材等。</w:t>
            </w:r>
          </w:p>
        </w:tc>
        <w:tc>
          <w:tcPr>
            <w:tcW w:w="1093" w:type="dxa"/>
            <w:vAlign w:val="center"/>
          </w:tcPr>
          <w:p w14:paraId="6C001E6F">
            <w:pPr>
              <w:jc w:val="center"/>
              <w:rPr>
                <w:rFonts w:hint="eastAsia" w:asciiTheme="minorEastAsia" w:hAnsiTheme="minorEastAsia" w:cstheme="minorEastAsia"/>
                <w:sz w:val="24"/>
              </w:rPr>
            </w:pPr>
          </w:p>
        </w:tc>
        <w:tc>
          <w:tcPr>
            <w:tcW w:w="1079" w:type="dxa"/>
            <w:vAlign w:val="center"/>
          </w:tcPr>
          <w:p w14:paraId="149045CD">
            <w:pPr>
              <w:jc w:val="center"/>
              <w:rPr>
                <w:rFonts w:hint="eastAsia" w:asciiTheme="minorEastAsia" w:hAnsiTheme="minorEastAsia" w:cstheme="minorEastAsia"/>
                <w:sz w:val="24"/>
              </w:rPr>
            </w:pPr>
          </w:p>
        </w:tc>
      </w:tr>
      <w:tr w14:paraId="21F2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4" w:type="dxa"/>
            <w:gridSpan w:val="7"/>
            <w:vAlign w:val="center"/>
          </w:tcPr>
          <w:p w14:paraId="4DCE9D83">
            <w:pPr>
              <w:jc w:val="center"/>
              <w:rPr>
                <w:rFonts w:hint="eastAsia" w:asciiTheme="minorEastAsia" w:hAnsiTheme="minorEastAsia" w:cstheme="minorEastAsia"/>
                <w:sz w:val="24"/>
              </w:rPr>
            </w:pPr>
            <w:r>
              <w:rPr>
                <w:rFonts w:hint="eastAsia" w:asciiTheme="minorEastAsia" w:hAnsiTheme="minorEastAsia" w:cstheme="minorEastAsia"/>
                <w:sz w:val="24"/>
              </w:rPr>
              <w:t>合计：</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元。</w:t>
            </w:r>
          </w:p>
        </w:tc>
      </w:tr>
    </w:tbl>
    <w:p w14:paraId="43C7F9F0">
      <w:pPr>
        <w:spacing w:line="360" w:lineRule="auto"/>
        <w:jc w:val="center"/>
        <w:outlineLvl w:val="0"/>
        <w:rPr>
          <w:rFonts w:hint="default" w:ascii="宋体" w:hAnsi="宋体" w:eastAsia="宋体" w:cs="Times New Roman"/>
          <w:b/>
          <w:sz w:val="36"/>
          <w:szCs w:val="36"/>
          <w:lang w:val="en-US" w:eastAsia="zh-CN"/>
        </w:rPr>
      </w:pPr>
    </w:p>
    <w:p w14:paraId="7C8A8E76">
      <w:pPr>
        <w:spacing w:line="360" w:lineRule="auto"/>
        <w:jc w:val="center"/>
        <w:outlineLvl w:val="0"/>
        <w:rPr>
          <w:rFonts w:hint="eastAsia" w:ascii="宋体" w:hAnsi="宋体" w:eastAsia="宋体" w:cs="Times New Roman"/>
          <w:b/>
          <w:sz w:val="36"/>
          <w:szCs w:val="36"/>
        </w:rPr>
        <w:sectPr>
          <w:footerReference r:id="rId3" w:type="default"/>
          <w:pgSz w:w="11906" w:h="16838"/>
          <w:pgMar w:top="1361" w:right="1361" w:bottom="1361" w:left="1361" w:header="851" w:footer="992" w:gutter="0"/>
          <w:cols w:space="720" w:num="1"/>
          <w:docGrid w:type="lines" w:linePitch="312" w:charSpace="0"/>
        </w:sectPr>
      </w:pPr>
    </w:p>
    <w:p w14:paraId="0D197DBC">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第四章 评审办法</w:t>
      </w:r>
    </w:p>
    <w:p w14:paraId="0EEFAE12">
      <w:pPr>
        <w:spacing w:line="460" w:lineRule="exact"/>
        <w:ind w:firstLine="480"/>
        <w:rPr>
          <w:rFonts w:ascii="宋体" w:hAnsi="宋体" w:eastAsia="宋体" w:cs="Times New Roman"/>
          <w:b/>
          <w:bCs/>
          <w:sz w:val="24"/>
          <w:szCs w:val="24"/>
        </w:rPr>
      </w:pPr>
      <w:r>
        <w:rPr>
          <w:rFonts w:ascii="宋体" w:hAnsi="宋体" w:eastAsia="宋体" w:cs="Times New Roman"/>
          <w:b/>
          <w:bCs/>
          <w:kern w:val="0"/>
          <w:sz w:val="24"/>
          <w:szCs w:val="24"/>
        </w:rPr>
        <w:t xml:space="preserve">1. </w:t>
      </w:r>
      <w:r>
        <w:rPr>
          <w:rFonts w:hint="eastAsia" w:ascii="宋体" w:hAnsi="宋体" w:eastAsia="宋体" w:cs="Times New Roman"/>
          <w:b/>
          <w:bCs/>
          <w:kern w:val="0"/>
          <w:sz w:val="24"/>
          <w:szCs w:val="24"/>
        </w:rPr>
        <w:t>电子化</w:t>
      </w:r>
      <w:r>
        <w:rPr>
          <w:rFonts w:hint="eastAsia" w:ascii="宋体" w:hAnsi="宋体" w:eastAsia="宋体" w:cs="Times New Roman"/>
          <w:b/>
          <w:bCs/>
          <w:sz w:val="24"/>
          <w:szCs w:val="24"/>
        </w:rPr>
        <w:t>磋商响应文件的评审、比较和否决</w:t>
      </w:r>
    </w:p>
    <w:p w14:paraId="5A764F39">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1.1</w:t>
      </w:r>
      <w:r>
        <w:rPr>
          <w:rFonts w:hint="eastAsia" w:ascii="宋体" w:hAnsi="宋体" w:eastAsia="宋体" w:cs="Times New Roman"/>
          <w:sz w:val="24"/>
          <w:szCs w:val="24"/>
        </w:rPr>
        <w:t>磋商小组将按照竞争性磋商文件的规定，仅对在实质上响应竞争性磋商文件要求的电子化磋商响应文件进行评估和比较。</w:t>
      </w:r>
    </w:p>
    <w:p w14:paraId="3B8DC4D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1.2</w:t>
      </w:r>
      <w:r>
        <w:rPr>
          <w:rFonts w:hint="eastAsia" w:ascii="宋体" w:hAnsi="宋体" w:eastAsia="宋体" w:cs="Times New Roman"/>
          <w:sz w:val="24"/>
          <w:szCs w:val="24"/>
        </w:rPr>
        <w:t>根据相关法律法规及有关招磋商响应文件规定，结合本项目具体情况，制定本次磋商评审办法。并按照“公平、公正、科学、择优”的原则进行磋商。采用综合评分法进行评比。</w:t>
      </w:r>
    </w:p>
    <w:p w14:paraId="6DA5999D">
      <w:pPr>
        <w:autoSpaceDE w:val="0"/>
        <w:autoSpaceDN w:val="0"/>
        <w:adjustRightInd w:val="0"/>
        <w:spacing w:line="460" w:lineRule="exact"/>
        <w:ind w:firstLine="482" w:firstLineChars="200"/>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sz w:val="24"/>
          <w:szCs w:val="24"/>
        </w:rPr>
        <w:t>在评审过程中，磋商小组可以以书面形式要求磋商响应供应商就电子化磋商响应文件中含义不明确的内容进行书面说明并提供相关材料；</w:t>
      </w:r>
      <w:r>
        <w:rPr>
          <w:rFonts w:hint="eastAsia" w:ascii="宋体" w:hAnsi="宋体" w:eastAsia="宋体" w:cs="Times New Roman"/>
          <w:spacing w:val="-6"/>
          <w:sz w:val="24"/>
          <w:szCs w:val="24"/>
        </w:rPr>
        <w:t>凡遇到竞争性磋商文件中无界定或界定不清、前后不一致使磋商小组成员</w:t>
      </w:r>
      <w:r>
        <w:rPr>
          <w:rFonts w:hint="eastAsia" w:ascii="宋体" w:hAnsi="宋体" w:eastAsia="宋体" w:cs="Times New Roman"/>
          <w:sz w:val="24"/>
          <w:szCs w:val="24"/>
        </w:rPr>
        <w:t>意见</w:t>
      </w:r>
      <w:r>
        <w:rPr>
          <w:rFonts w:hint="eastAsia" w:ascii="宋体" w:hAnsi="宋体" w:eastAsia="宋体" w:cs="Times New Roman"/>
          <w:spacing w:val="-6"/>
          <w:sz w:val="24"/>
          <w:szCs w:val="24"/>
        </w:rPr>
        <w:t>有分歧且又难于协商一致的问题，均由磋商小组予以表决，获半数以上同意的即为通过，未获半数同意的即为否决</w:t>
      </w:r>
      <w:r>
        <w:rPr>
          <w:rFonts w:hint="eastAsia" w:ascii="宋体" w:hAnsi="宋体" w:eastAsia="宋体" w:cs="Times New Roman"/>
          <w:sz w:val="24"/>
          <w:szCs w:val="24"/>
        </w:rPr>
        <w:t>。</w:t>
      </w:r>
    </w:p>
    <w:p w14:paraId="3D2881F6">
      <w:pPr>
        <w:spacing w:line="460" w:lineRule="exact"/>
        <w:ind w:firstLine="480"/>
        <w:rPr>
          <w:rFonts w:ascii="宋体" w:hAnsi="宋体" w:eastAsia="宋体" w:cs="Times New Roman"/>
          <w:sz w:val="24"/>
          <w:szCs w:val="24"/>
        </w:rPr>
      </w:pPr>
      <w:r>
        <w:rPr>
          <w:rFonts w:ascii="宋体" w:hAnsi="宋体" w:eastAsia="宋体" w:cs="Times New Roman"/>
          <w:b/>
          <w:bCs/>
          <w:kern w:val="0"/>
          <w:sz w:val="24"/>
          <w:szCs w:val="24"/>
        </w:rPr>
        <w:t>1.4</w:t>
      </w:r>
      <w:r>
        <w:rPr>
          <w:rFonts w:hint="eastAsia" w:ascii="宋体" w:hAnsi="宋体" w:eastAsia="宋体" w:cs="Times New Roman"/>
          <w:kern w:val="0"/>
          <w:sz w:val="24"/>
          <w:szCs w:val="24"/>
        </w:rPr>
        <w:t>磋商时，磋商报价是磋商的重要依据，但不是唯一依据，</w:t>
      </w:r>
      <w:r>
        <w:rPr>
          <w:rFonts w:hint="eastAsia" w:ascii="宋体" w:hAnsi="宋体" w:eastAsia="宋体" w:cs="Times New Roman"/>
          <w:sz w:val="24"/>
          <w:szCs w:val="24"/>
        </w:rPr>
        <w:t>采购人不承诺将合同授予报价最低或最高的磋商响应供应商。</w:t>
      </w:r>
    </w:p>
    <w:p w14:paraId="0D581BC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1.5</w:t>
      </w:r>
      <w:r>
        <w:rPr>
          <w:rFonts w:hint="eastAsia" w:ascii="宋体" w:hAnsi="宋体" w:eastAsia="宋体" w:cs="Times New Roman"/>
          <w:sz w:val="24"/>
          <w:szCs w:val="24"/>
        </w:rPr>
        <w:t>磋商小组依据本须知规定的评审标准和方法，对电子化磋商响应文件进行评审和比较，向采购人提出书面磋商报告，并推荐合格的成交候选供应商。</w:t>
      </w:r>
    </w:p>
    <w:p w14:paraId="4D5F2F8D">
      <w:pPr>
        <w:spacing w:line="460" w:lineRule="exact"/>
        <w:ind w:firstLine="426" w:firstLineChars="177"/>
        <w:rPr>
          <w:rFonts w:ascii="宋体" w:hAnsi="宋体" w:eastAsia="宋体" w:cs="Times New Roman"/>
          <w:sz w:val="24"/>
          <w:szCs w:val="24"/>
        </w:rPr>
      </w:pPr>
      <w:r>
        <w:rPr>
          <w:rFonts w:hint="eastAsia" w:ascii="宋体" w:hAnsi="宋体" w:eastAsia="宋体" w:cs="Times New Roman"/>
          <w:b/>
          <w:bCs/>
          <w:sz w:val="24"/>
          <w:szCs w:val="24"/>
        </w:rPr>
        <w:t>1.6</w:t>
      </w:r>
      <w:r>
        <w:rPr>
          <w:rFonts w:hint="eastAsia" w:ascii="宋体" w:hAnsi="宋体" w:eastAsia="宋体" w:cs="Times New Roman"/>
          <w:sz w:val="24"/>
          <w:szCs w:val="24"/>
        </w:rPr>
        <w:t>在磋商过程中，竞争性磋商响应文件中核心产品为同一品牌的且通过资格审查、符合性审查的不同磋商响应供应商参加本项目磋商的，按一家供应商计算，评审后得分最高的同品牌供应商获得成交供应商推荐资格，评审得分相同的，首先以报价最低的磋商响应供应商获得成交供应商推荐资格；若报价相同的，以售后服务得分最高的磋商响应供应商获得成交供应商推荐资格。</w:t>
      </w:r>
    </w:p>
    <w:p w14:paraId="02C93C92">
      <w:pPr>
        <w:spacing w:after="120" w:line="460" w:lineRule="exact"/>
        <w:ind w:firstLine="420"/>
        <w:rPr>
          <w:rFonts w:ascii="宋体" w:hAnsi="宋体" w:eastAsia="宋体" w:cs="Times New Roman"/>
          <w:kern w:val="0"/>
          <w:sz w:val="24"/>
          <w:szCs w:val="24"/>
        </w:rPr>
      </w:pPr>
      <w:r>
        <w:rPr>
          <w:rFonts w:hint="eastAsia" w:ascii="宋体" w:hAnsi="宋体" w:eastAsia="宋体" w:cs="Times New Roman"/>
          <w:b/>
          <w:bCs/>
          <w:kern w:val="0"/>
          <w:sz w:val="24"/>
          <w:szCs w:val="24"/>
        </w:rPr>
        <w:t>1.7</w:t>
      </w:r>
      <w:r>
        <w:rPr>
          <w:rFonts w:hint="eastAsia" w:ascii="宋体" w:hAnsi="宋体" w:eastAsia="宋体" w:cs="Times New Roman"/>
          <w:kern w:val="0"/>
          <w:sz w:val="24"/>
          <w:szCs w:val="24"/>
        </w:rPr>
        <w:t>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8918AE5">
      <w:pPr>
        <w:autoSpaceDE w:val="0"/>
        <w:autoSpaceDN w:val="0"/>
        <w:adjustRightInd w:val="0"/>
        <w:spacing w:line="460" w:lineRule="exact"/>
        <w:ind w:firstLine="480"/>
        <w:jc w:val="left"/>
        <w:rPr>
          <w:rFonts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kern w:val="0"/>
          <w:sz w:val="24"/>
          <w:szCs w:val="24"/>
        </w:rPr>
        <w:t>．评分标准</w:t>
      </w:r>
      <w:r>
        <w:rPr>
          <w:rFonts w:ascii="宋体" w:hAnsi="宋体" w:eastAsia="宋体" w:cs="Times New Roman"/>
          <w:sz w:val="24"/>
          <w:szCs w:val="24"/>
        </w:rPr>
        <w:t>(</w:t>
      </w:r>
      <w:r>
        <w:rPr>
          <w:rFonts w:hint="eastAsia" w:ascii="宋体" w:hAnsi="宋体" w:eastAsia="宋体" w:cs="Times New Roman"/>
          <w:sz w:val="24"/>
          <w:szCs w:val="24"/>
        </w:rPr>
        <w:t>采用综合评分法</w:t>
      </w:r>
      <w:r>
        <w:rPr>
          <w:rFonts w:ascii="宋体" w:hAnsi="宋体" w:eastAsia="宋体" w:cs="Times New Roman"/>
          <w:sz w:val="24"/>
          <w:szCs w:val="24"/>
        </w:rPr>
        <w:t>)</w:t>
      </w:r>
    </w:p>
    <w:p w14:paraId="5A47105C">
      <w:pPr>
        <w:autoSpaceDE w:val="0"/>
        <w:autoSpaceDN w:val="0"/>
        <w:adjustRightInd w:val="0"/>
        <w:spacing w:line="460" w:lineRule="exact"/>
        <w:ind w:firstLine="480"/>
        <w:jc w:val="left"/>
        <w:rPr>
          <w:rFonts w:ascii="宋体" w:hAnsi="宋体" w:eastAsia="宋体" w:cs="Times New Roman"/>
          <w:sz w:val="24"/>
          <w:szCs w:val="24"/>
        </w:rPr>
      </w:pPr>
      <w:r>
        <w:rPr>
          <w:rFonts w:hint="eastAsia" w:ascii="宋体" w:hAnsi="宋体" w:eastAsia="宋体" w:cs="Times New Roman"/>
          <w:kern w:val="0"/>
          <w:sz w:val="24"/>
          <w:szCs w:val="24"/>
        </w:rPr>
        <w:t>磋商小组按照《中华人民共和国政府采购法》和</w:t>
      </w:r>
      <w:r>
        <w:rPr>
          <w:rFonts w:hint="eastAsia" w:ascii="宋体" w:hAnsi="宋体" w:eastAsia="宋体" w:cs="Times New Roman"/>
          <w:sz w:val="24"/>
          <w:szCs w:val="24"/>
        </w:rPr>
        <w:t>《政府采购竞争性磋商采购方式管理暂行办法》</w:t>
      </w:r>
      <w:r>
        <w:rPr>
          <w:rFonts w:hint="eastAsia" w:ascii="宋体" w:hAnsi="宋体" w:eastAsia="宋体" w:cs="Times New Roman"/>
          <w:kern w:val="0"/>
          <w:sz w:val="24"/>
          <w:szCs w:val="24"/>
        </w:rPr>
        <w:t>，结合本项目具体情况，按下列标准打分：</w:t>
      </w:r>
      <w:r>
        <w:rPr>
          <w:rFonts w:hint="eastAsia" w:ascii="宋体" w:hAnsi="宋体" w:eastAsia="宋体" w:cs="Times New Roman"/>
          <w:sz w:val="24"/>
          <w:szCs w:val="24"/>
        </w:rPr>
        <w:t>第一部分：磋商报价评审；第二部分：技术部分评审；第三部分：商务部分评审。</w:t>
      </w:r>
    </w:p>
    <w:p w14:paraId="65609348">
      <w:pPr>
        <w:snapToGrid w:val="0"/>
        <w:spacing w:line="460" w:lineRule="exact"/>
        <w:ind w:left="1" w:firstLine="480" w:firstLineChars="200"/>
        <w:rPr>
          <w:rFonts w:ascii="宋体" w:hAnsi="宋体" w:eastAsia="宋体" w:cs="Times New Roman"/>
          <w:sz w:val="24"/>
          <w:szCs w:val="24"/>
        </w:rPr>
      </w:pPr>
      <w:r>
        <w:rPr>
          <w:rFonts w:hint="eastAsia" w:ascii="宋体" w:hAnsi="宋体" w:eastAsia="宋体" w:cs="Times New Roman"/>
          <w:sz w:val="24"/>
          <w:szCs w:val="24"/>
        </w:rPr>
        <w:t>磋商响应供应商最终得分</w:t>
      </w:r>
      <w:r>
        <w:rPr>
          <w:rFonts w:ascii="宋体" w:hAnsi="宋体" w:eastAsia="宋体" w:cs="Times New Roman"/>
          <w:sz w:val="24"/>
          <w:szCs w:val="24"/>
        </w:rPr>
        <w:t>=</w:t>
      </w:r>
      <w:r>
        <w:rPr>
          <w:rFonts w:hint="eastAsia" w:ascii="宋体" w:hAnsi="宋体" w:eastAsia="宋体" w:cs="Times New Roman"/>
          <w:sz w:val="24"/>
          <w:szCs w:val="24"/>
        </w:rPr>
        <w:t>磋商报价得分+技术标评审得分</w:t>
      </w:r>
      <w:r>
        <w:rPr>
          <w:rFonts w:ascii="宋体" w:hAnsi="宋体" w:eastAsia="宋体" w:cs="Times New Roman"/>
          <w:sz w:val="24"/>
          <w:szCs w:val="24"/>
        </w:rPr>
        <w:t>+</w:t>
      </w:r>
      <w:r>
        <w:rPr>
          <w:rFonts w:hint="eastAsia" w:ascii="宋体" w:hAnsi="宋体" w:eastAsia="宋体" w:cs="Times New Roman"/>
          <w:sz w:val="24"/>
          <w:szCs w:val="24"/>
        </w:rPr>
        <w:t>商务标评审得分。</w:t>
      </w:r>
    </w:p>
    <w:p w14:paraId="5B5D233B">
      <w:pPr>
        <w:snapToGrid w:val="0"/>
        <w:spacing w:line="460" w:lineRule="exact"/>
        <w:ind w:left="1" w:firstLine="482" w:firstLineChars="200"/>
        <w:rPr>
          <w:rFonts w:ascii="宋体" w:hAnsi="宋体" w:eastAsia="宋体" w:cs="Times New Roman"/>
          <w:b/>
          <w:bCs/>
          <w:sz w:val="24"/>
          <w:szCs w:val="24"/>
        </w:rPr>
      </w:pPr>
      <w:r>
        <w:rPr>
          <w:rFonts w:ascii="宋体" w:hAnsi="宋体" w:eastAsia="宋体" w:cs="Times New Roman"/>
          <w:b/>
          <w:bCs/>
          <w:sz w:val="24"/>
          <w:szCs w:val="24"/>
        </w:rPr>
        <w:t xml:space="preserve">3. </w:t>
      </w:r>
      <w:r>
        <w:rPr>
          <w:rFonts w:hint="eastAsia" w:ascii="宋体" w:hAnsi="宋体" w:eastAsia="宋体" w:cs="Times New Roman"/>
          <w:b/>
          <w:bCs/>
          <w:sz w:val="24"/>
          <w:szCs w:val="24"/>
        </w:rPr>
        <w:t>评审程序</w:t>
      </w:r>
    </w:p>
    <w:p w14:paraId="1A65BAE5">
      <w:pPr>
        <w:snapToGrid w:val="0"/>
        <w:spacing w:line="460" w:lineRule="exact"/>
        <w:ind w:left="1" w:firstLine="480" w:firstLineChars="200"/>
        <w:rPr>
          <w:rFonts w:ascii="宋体" w:hAnsi="宋体" w:eastAsia="宋体" w:cs="Times New Roman"/>
          <w:b/>
          <w:bCs/>
          <w:sz w:val="24"/>
          <w:szCs w:val="24"/>
        </w:rPr>
      </w:pPr>
      <w:r>
        <w:rPr>
          <w:rFonts w:hint="eastAsia" w:ascii="宋体" w:hAnsi="宋体" w:eastAsia="宋体" w:cs="Times New Roman"/>
          <w:kern w:val="0"/>
          <w:sz w:val="24"/>
          <w:szCs w:val="24"/>
        </w:rPr>
        <w:t>磋商小组</w:t>
      </w:r>
      <w:r>
        <w:rPr>
          <w:rFonts w:hint="eastAsia" w:ascii="宋体" w:hAnsi="宋体" w:eastAsia="宋体" w:cs="Times New Roman"/>
          <w:sz w:val="24"/>
          <w:szCs w:val="24"/>
        </w:rPr>
        <w:t>按照竞争性磋商文件的要求，对磋商响应供应商进行初步审查，有一项不符合的，视为未通过初步审查，不得进入下一磋商过程。</w:t>
      </w:r>
    </w:p>
    <w:p w14:paraId="480C5079">
      <w:pPr>
        <w:keepNext/>
        <w:keepLines/>
        <w:spacing w:before="160" w:after="160" w:line="480" w:lineRule="exact"/>
        <w:jc w:val="center"/>
        <w:textAlignment w:val="baseline"/>
        <w:outlineLvl w:val="1"/>
        <w:rPr>
          <w:rFonts w:ascii="宋体" w:hAnsi="宋体" w:eastAsia="宋体" w:cs="宋体"/>
          <w:kern w:val="0"/>
          <w:sz w:val="28"/>
          <w:szCs w:val="28"/>
        </w:rPr>
      </w:pPr>
      <w:bookmarkStart w:id="0" w:name="_Toc25143"/>
      <w:bookmarkStart w:id="1" w:name="_Toc78216791"/>
      <w:r>
        <w:rPr>
          <w:rFonts w:hint="eastAsia" w:ascii="宋体" w:hAnsi="宋体" w:eastAsia="宋体" w:cs="宋体"/>
          <w:kern w:val="0"/>
          <w:sz w:val="28"/>
          <w:szCs w:val="28"/>
        </w:rPr>
        <w:t>评标办法前附表</w:t>
      </w:r>
      <w:bookmarkEnd w:id="0"/>
      <w:bookmarkEnd w:id="1"/>
    </w:p>
    <w:tbl>
      <w:tblPr>
        <w:tblStyle w:val="20"/>
        <w:tblpPr w:leftFromText="180" w:rightFromText="180" w:vertAnchor="text" w:tblpXSpec="center" w:tblpY="1"/>
        <w:tblOverlap w:val="never"/>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59"/>
        <w:gridCol w:w="2110"/>
        <w:gridCol w:w="5917"/>
      </w:tblGrid>
      <w:tr w14:paraId="5961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D700B9C">
            <w:pPr>
              <w:autoSpaceDE w:val="0"/>
              <w:autoSpaceDN w:val="0"/>
              <w:adjustRightInd w:val="0"/>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初步审查</w:t>
            </w:r>
          </w:p>
        </w:tc>
      </w:tr>
      <w:tr w14:paraId="7D5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7" w:type="pct"/>
            <w:tcBorders>
              <w:top w:val="single" w:color="auto" w:sz="4" w:space="0"/>
              <w:left w:val="single" w:color="auto" w:sz="4" w:space="0"/>
              <w:bottom w:val="single" w:color="auto" w:sz="4" w:space="0"/>
              <w:right w:val="single" w:color="auto" w:sz="4" w:space="0"/>
            </w:tcBorders>
            <w:vAlign w:val="center"/>
          </w:tcPr>
          <w:p w14:paraId="4D754195">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条款号</w:t>
            </w:r>
          </w:p>
        </w:tc>
        <w:tc>
          <w:tcPr>
            <w:tcW w:w="1429" w:type="pct"/>
            <w:gridSpan w:val="2"/>
            <w:tcBorders>
              <w:top w:val="single" w:color="auto" w:sz="4" w:space="0"/>
              <w:left w:val="single" w:color="auto" w:sz="4" w:space="0"/>
              <w:bottom w:val="single" w:color="auto" w:sz="4" w:space="0"/>
              <w:right w:val="single" w:color="auto" w:sz="4" w:space="0"/>
            </w:tcBorders>
            <w:vAlign w:val="center"/>
          </w:tcPr>
          <w:p w14:paraId="6140DB2F">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评审因素</w:t>
            </w:r>
          </w:p>
        </w:tc>
        <w:tc>
          <w:tcPr>
            <w:tcW w:w="3053" w:type="pct"/>
            <w:tcBorders>
              <w:top w:val="single" w:color="auto" w:sz="4" w:space="0"/>
              <w:left w:val="single" w:color="auto" w:sz="4" w:space="0"/>
              <w:bottom w:val="single" w:color="auto" w:sz="4" w:space="0"/>
              <w:right w:val="single" w:color="auto" w:sz="4" w:space="0"/>
            </w:tcBorders>
            <w:vAlign w:val="center"/>
          </w:tcPr>
          <w:p w14:paraId="3BF0AFD3">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评审标准</w:t>
            </w:r>
          </w:p>
        </w:tc>
      </w:tr>
      <w:tr w14:paraId="5A07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exact"/>
        </w:trPr>
        <w:tc>
          <w:tcPr>
            <w:tcW w:w="517" w:type="pct"/>
            <w:vMerge w:val="restart"/>
            <w:tcBorders>
              <w:top w:val="single" w:color="auto" w:sz="4" w:space="0"/>
              <w:left w:val="single" w:color="auto" w:sz="4" w:space="0"/>
              <w:right w:val="single" w:color="auto" w:sz="4" w:space="0"/>
            </w:tcBorders>
            <w:vAlign w:val="center"/>
          </w:tcPr>
          <w:p w14:paraId="4B0713D0">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2.1.1</w:t>
            </w:r>
          </w:p>
        </w:tc>
        <w:tc>
          <w:tcPr>
            <w:tcW w:w="340" w:type="pct"/>
            <w:vMerge w:val="restart"/>
            <w:tcBorders>
              <w:top w:val="single" w:color="auto" w:sz="4" w:space="0"/>
              <w:left w:val="single" w:color="auto" w:sz="4" w:space="0"/>
              <w:right w:val="single" w:color="auto" w:sz="4" w:space="0"/>
            </w:tcBorders>
            <w:vAlign w:val="center"/>
          </w:tcPr>
          <w:p w14:paraId="388B1A7B">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资格审查</w:t>
            </w:r>
          </w:p>
          <w:p w14:paraId="41CD12F8">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标</w:t>
            </w:r>
          </w:p>
          <w:p w14:paraId="2E439B21">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准</w:t>
            </w:r>
          </w:p>
        </w:tc>
        <w:tc>
          <w:tcPr>
            <w:tcW w:w="1088" w:type="pct"/>
            <w:tcBorders>
              <w:top w:val="single" w:color="auto" w:sz="4" w:space="0"/>
              <w:left w:val="single" w:color="auto" w:sz="4" w:space="0"/>
              <w:right w:val="single" w:color="auto" w:sz="4" w:space="0"/>
            </w:tcBorders>
            <w:vAlign w:val="center"/>
          </w:tcPr>
          <w:p w14:paraId="1431AC79">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《中华人民共和国政府采购法》第二十二条</w:t>
            </w:r>
          </w:p>
        </w:tc>
        <w:tc>
          <w:tcPr>
            <w:tcW w:w="3053" w:type="pct"/>
            <w:tcBorders>
              <w:top w:val="single" w:color="auto" w:sz="4" w:space="0"/>
              <w:left w:val="single" w:color="auto" w:sz="4" w:space="0"/>
              <w:bottom w:val="single" w:color="auto" w:sz="4" w:space="0"/>
              <w:right w:val="single" w:color="auto" w:sz="4" w:space="0"/>
            </w:tcBorders>
            <w:vAlign w:val="center"/>
          </w:tcPr>
          <w:p w14:paraId="5EE8F8E2">
            <w:pPr>
              <w:widowControl/>
              <w:spacing w:line="400" w:lineRule="exact"/>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供应商提供承诺书</w:t>
            </w:r>
          </w:p>
        </w:tc>
      </w:tr>
      <w:tr w14:paraId="715C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17" w:type="pct"/>
            <w:vMerge w:val="continue"/>
            <w:tcBorders>
              <w:left w:val="single" w:color="auto" w:sz="4" w:space="0"/>
              <w:right w:val="single" w:color="auto" w:sz="4" w:space="0"/>
            </w:tcBorders>
            <w:vAlign w:val="center"/>
          </w:tcPr>
          <w:p w14:paraId="1A6A12DC">
            <w:pPr>
              <w:autoSpaceDE w:val="0"/>
              <w:autoSpaceDN w:val="0"/>
              <w:adjustRightInd w:val="0"/>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2BF24767">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7DB7A2C">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3053" w:type="pct"/>
            <w:tcBorders>
              <w:top w:val="single" w:color="auto" w:sz="4" w:space="0"/>
              <w:left w:val="single" w:color="auto" w:sz="4" w:space="0"/>
              <w:bottom w:val="single" w:color="auto" w:sz="4" w:space="0"/>
              <w:right w:val="single" w:color="auto" w:sz="4" w:space="0"/>
            </w:tcBorders>
            <w:vAlign w:val="center"/>
          </w:tcPr>
          <w:p w14:paraId="562DDAC0">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供应商具有合格有效的营业执照；提供具有履行合同所必需的设备和专业技术能力</w:t>
            </w:r>
            <w:r>
              <w:rPr>
                <w:rFonts w:hint="eastAsia" w:ascii="宋体" w:hAnsi="宋体" w:eastAsia="宋体" w:cs="宋体"/>
                <w:sz w:val="24"/>
                <w:szCs w:val="24"/>
                <w:lang w:eastAsia="zh-CN"/>
              </w:rPr>
              <w:t>（自行作出承诺，格式自拟）</w:t>
            </w:r>
          </w:p>
        </w:tc>
      </w:tr>
      <w:tr w14:paraId="7D44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517" w:type="pct"/>
            <w:vMerge w:val="continue"/>
            <w:tcBorders>
              <w:left w:val="single" w:color="auto" w:sz="4" w:space="0"/>
              <w:right w:val="single" w:color="auto" w:sz="4" w:space="0"/>
            </w:tcBorders>
            <w:vAlign w:val="center"/>
          </w:tcPr>
          <w:p w14:paraId="1F863D4B">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38750508">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1115C31">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无行贿记录及无商业贿赂和不正当竞争行为</w:t>
            </w:r>
          </w:p>
        </w:tc>
        <w:tc>
          <w:tcPr>
            <w:tcW w:w="3053" w:type="pct"/>
            <w:tcBorders>
              <w:top w:val="single" w:color="auto" w:sz="4" w:space="0"/>
              <w:left w:val="single" w:color="auto" w:sz="4" w:space="0"/>
              <w:bottom w:val="single" w:color="auto" w:sz="4" w:space="0"/>
              <w:right w:val="single" w:color="auto" w:sz="4" w:space="0"/>
            </w:tcBorders>
            <w:vAlign w:val="center"/>
          </w:tcPr>
          <w:p w14:paraId="2EC145D4">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出具无行贿记录在中国裁判文书网自行查询或自行承诺（查询对象：企业、法定代表人）及企业自行承诺无商业贿赂和不正当竞争行为</w:t>
            </w:r>
          </w:p>
        </w:tc>
      </w:tr>
      <w:tr w14:paraId="67D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exact"/>
        </w:trPr>
        <w:tc>
          <w:tcPr>
            <w:tcW w:w="517" w:type="pct"/>
            <w:vMerge w:val="continue"/>
            <w:tcBorders>
              <w:left w:val="single" w:color="auto" w:sz="4" w:space="0"/>
              <w:right w:val="single" w:color="auto" w:sz="4" w:space="0"/>
            </w:tcBorders>
            <w:vAlign w:val="center"/>
          </w:tcPr>
          <w:p w14:paraId="345788B4">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7C098F5B">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8485D5E">
            <w:pPr>
              <w:autoSpaceDE w:val="0"/>
              <w:autoSpaceDN w:val="0"/>
              <w:adjustRightIn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信用查询</w:t>
            </w:r>
          </w:p>
        </w:tc>
        <w:tc>
          <w:tcPr>
            <w:tcW w:w="3053" w:type="pct"/>
            <w:tcBorders>
              <w:top w:val="single" w:color="auto" w:sz="4" w:space="0"/>
              <w:left w:val="single" w:color="auto" w:sz="4" w:space="0"/>
              <w:bottom w:val="single" w:color="auto" w:sz="4" w:space="0"/>
              <w:right w:val="single" w:color="auto" w:sz="4" w:space="0"/>
            </w:tcBorders>
            <w:vAlign w:val="center"/>
          </w:tcPr>
          <w:p w14:paraId="5D667515">
            <w:pPr>
              <w:widowControl/>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785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517" w:type="pct"/>
            <w:vMerge w:val="continue"/>
            <w:tcBorders>
              <w:left w:val="single" w:color="auto" w:sz="4" w:space="0"/>
              <w:bottom w:val="single" w:color="auto" w:sz="4" w:space="0"/>
              <w:right w:val="single" w:color="auto" w:sz="4" w:space="0"/>
            </w:tcBorders>
            <w:vAlign w:val="center"/>
          </w:tcPr>
          <w:p w14:paraId="6790D78D">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bottom w:val="single" w:color="auto" w:sz="4" w:space="0"/>
              <w:right w:val="single" w:color="auto" w:sz="4" w:space="0"/>
            </w:tcBorders>
            <w:vAlign w:val="center"/>
          </w:tcPr>
          <w:p w14:paraId="50EB7D3A">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2D43D67">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本项目不接受联合体投标</w:t>
            </w:r>
          </w:p>
        </w:tc>
        <w:tc>
          <w:tcPr>
            <w:tcW w:w="3053" w:type="pct"/>
            <w:tcBorders>
              <w:top w:val="single" w:color="auto" w:sz="4" w:space="0"/>
              <w:left w:val="single" w:color="auto" w:sz="4" w:space="0"/>
              <w:bottom w:val="single" w:color="auto" w:sz="4" w:space="0"/>
              <w:right w:val="single" w:color="auto" w:sz="4" w:space="0"/>
            </w:tcBorders>
            <w:vAlign w:val="top"/>
          </w:tcPr>
          <w:p w14:paraId="4F2DA5CE">
            <w:pPr>
              <w:widowControl/>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本项目不接受联合体投标，供应商提供承诺书</w:t>
            </w:r>
          </w:p>
        </w:tc>
      </w:tr>
      <w:tr w14:paraId="2BE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7" w:type="pct"/>
            <w:vMerge w:val="restart"/>
            <w:tcBorders>
              <w:top w:val="single" w:color="auto" w:sz="4" w:space="0"/>
              <w:left w:val="single" w:color="auto" w:sz="4" w:space="0"/>
              <w:right w:val="single" w:color="auto" w:sz="4" w:space="0"/>
            </w:tcBorders>
            <w:vAlign w:val="center"/>
          </w:tcPr>
          <w:p w14:paraId="32C6D73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2.1.2</w:t>
            </w:r>
          </w:p>
        </w:tc>
        <w:tc>
          <w:tcPr>
            <w:tcW w:w="340" w:type="pct"/>
            <w:vMerge w:val="restart"/>
            <w:tcBorders>
              <w:top w:val="single" w:color="auto" w:sz="4" w:space="0"/>
              <w:left w:val="single" w:color="auto" w:sz="4" w:space="0"/>
              <w:right w:val="single" w:color="auto" w:sz="4" w:space="0"/>
            </w:tcBorders>
            <w:vAlign w:val="center"/>
          </w:tcPr>
          <w:p w14:paraId="0BED2907">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符 合 性 审查标准</w:t>
            </w:r>
          </w:p>
        </w:tc>
        <w:tc>
          <w:tcPr>
            <w:tcW w:w="1088" w:type="pct"/>
            <w:tcBorders>
              <w:top w:val="single" w:color="auto" w:sz="4" w:space="0"/>
              <w:left w:val="single" w:color="auto" w:sz="4" w:space="0"/>
              <w:bottom w:val="single" w:color="auto" w:sz="4" w:space="0"/>
              <w:right w:val="single" w:color="auto" w:sz="4" w:space="0"/>
            </w:tcBorders>
            <w:vAlign w:val="center"/>
          </w:tcPr>
          <w:p w14:paraId="19EAC18F">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3053" w:type="pct"/>
            <w:tcBorders>
              <w:top w:val="single" w:color="auto" w:sz="4" w:space="0"/>
              <w:left w:val="single" w:color="auto" w:sz="4" w:space="0"/>
              <w:bottom w:val="single" w:color="auto" w:sz="4" w:space="0"/>
              <w:right w:val="single" w:color="auto" w:sz="4" w:space="0"/>
            </w:tcBorders>
            <w:vAlign w:val="center"/>
          </w:tcPr>
          <w:p w14:paraId="36E54206">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与营业执照一致</w:t>
            </w:r>
          </w:p>
        </w:tc>
      </w:tr>
      <w:tr w14:paraId="17EC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7" w:type="pct"/>
            <w:vMerge w:val="continue"/>
            <w:tcBorders>
              <w:left w:val="single" w:color="auto" w:sz="4" w:space="0"/>
              <w:right w:val="single" w:color="auto" w:sz="4" w:space="0"/>
            </w:tcBorders>
            <w:vAlign w:val="center"/>
          </w:tcPr>
          <w:p w14:paraId="385DC890">
            <w:pPr>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67F6E32">
            <w:pPr>
              <w:spacing w:line="400" w:lineRule="exact"/>
              <w:rPr>
                <w:rFonts w:ascii="宋体" w:hAnsi="宋体" w:eastAsia="宋体" w:cs="宋体"/>
                <w:sz w:val="24"/>
                <w:szCs w:val="24"/>
              </w:rPr>
            </w:pPr>
          </w:p>
        </w:tc>
        <w:tc>
          <w:tcPr>
            <w:tcW w:w="1088" w:type="pct"/>
            <w:tcBorders>
              <w:top w:val="single" w:color="auto" w:sz="4" w:space="0"/>
              <w:left w:val="single" w:color="auto" w:sz="4" w:space="0"/>
              <w:right w:val="single" w:color="auto" w:sz="4" w:space="0"/>
            </w:tcBorders>
            <w:vAlign w:val="center"/>
          </w:tcPr>
          <w:p w14:paraId="4E318AF0">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lang w:val="en-US" w:eastAsia="zh-CN"/>
              </w:rPr>
              <w:t>磋商函签字盖章</w:t>
            </w:r>
          </w:p>
        </w:tc>
        <w:tc>
          <w:tcPr>
            <w:tcW w:w="3053" w:type="pct"/>
            <w:tcBorders>
              <w:top w:val="single" w:color="auto" w:sz="4" w:space="0"/>
              <w:left w:val="single" w:color="auto" w:sz="4" w:space="0"/>
              <w:bottom w:val="single" w:color="auto" w:sz="4" w:space="0"/>
              <w:right w:val="single" w:color="auto" w:sz="4" w:space="0"/>
            </w:tcBorders>
            <w:vAlign w:val="center"/>
          </w:tcPr>
          <w:p w14:paraId="3163CB68">
            <w:pPr>
              <w:autoSpaceDE w:val="0"/>
              <w:autoSpaceDN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有法定代表人或其委托代理人签字或盖章并加盖单位公章</w:t>
            </w:r>
          </w:p>
        </w:tc>
      </w:tr>
      <w:tr w14:paraId="7EC2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7" w:type="pct"/>
            <w:vMerge w:val="continue"/>
            <w:tcBorders>
              <w:left w:val="single" w:color="auto" w:sz="4" w:space="0"/>
              <w:right w:val="single" w:color="auto" w:sz="4" w:space="0"/>
            </w:tcBorders>
            <w:vAlign w:val="center"/>
          </w:tcPr>
          <w:p w14:paraId="3595A7F8">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D6B7CE4">
            <w:pPr>
              <w:autoSpaceDE w:val="0"/>
              <w:autoSpaceDN w:val="0"/>
              <w:adjustRightInd w:val="0"/>
              <w:spacing w:line="400" w:lineRule="exact"/>
              <w:jc w:val="center"/>
              <w:rPr>
                <w:rFonts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56DF7AC">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报价唯一</w:t>
            </w:r>
          </w:p>
        </w:tc>
        <w:tc>
          <w:tcPr>
            <w:tcW w:w="3053" w:type="pct"/>
            <w:tcBorders>
              <w:top w:val="single" w:color="auto" w:sz="4" w:space="0"/>
              <w:left w:val="single" w:color="auto" w:sz="4" w:space="0"/>
              <w:bottom w:val="single" w:color="auto" w:sz="4" w:space="0"/>
              <w:right w:val="single" w:color="auto" w:sz="4" w:space="0"/>
            </w:tcBorders>
            <w:vAlign w:val="center"/>
          </w:tcPr>
          <w:p w14:paraId="3E8192C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只能有一个有效报价且不超最高限价</w:t>
            </w:r>
          </w:p>
        </w:tc>
      </w:tr>
      <w:tr w14:paraId="43B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restart"/>
            <w:tcBorders>
              <w:left w:val="single" w:color="auto" w:sz="4" w:space="0"/>
              <w:right w:val="single" w:color="auto" w:sz="4" w:space="0"/>
            </w:tcBorders>
            <w:vAlign w:val="center"/>
          </w:tcPr>
          <w:p w14:paraId="6A47F674">
            <w:pPr>
              <w:autoSpaceDE w:val="0"/>
              <w:autoSpaceDN w:val="0"/>
              <w:adjustRightIn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340" w:type="pct"/>
            <w:vMerge w:val="restart"/>
            <w:tcBorders>
              <w:left w:val="single" w:color="auto" w:sz="4" w:space="0"/>
              <w:right w:val="single" w:color="auto" w:sz="4" w:space="0"/>
            </w:tcBorders>
            <w:vAlign w:val="center"/>
          </w:tcPr>
          <w:p w14:paraId="4638D8DD">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响应性评审</w:t>
            </w:r>
          </w:p>
        </w:tc>
        <w:tc>
          <w:tcPr>
            <w:tcW w:w="1088" w:type="pct"/>
            <w:tcBorders>
              <w:top w:val="single" w:color="auto" w:sz="4" w:space="0"/>
              <w:left w:val="single" w:color="auto" w:sz="4" w:space="0"/>
              <w:bottom w:val="single" w:color="auto" w:sz="4" w:space="0"/>
              <w:right w:val="single" w:color="auto" w:sz="4" w:space="0"/>
            </w:tcBorders>
            <w:vAlign w:val="center"/>
          </w:tcPr>
          <w:p w14:paraId="16A79BE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3053" w:type="pct"/>
            <w:tcBorders>
              <w:top w:val="single" w:color="auto" w:sz="4" w:space="0"/>
              <w:left w:val="single" w:color="auto" w:sz="4" w:space="0"/>
              <w:bottom w:val="single" w:color="auto" w:sz="4" w:space="0"/>
              <w:right w:val="single" w:color="auto" w:sz="4" w:space="0"/>
            </w:tcBorders>
            <w:vAlign w:val="center"/>
          </w:tcPr>
          <w:p w14:paraId="0F601A3F">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792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continue"/>
            <w:tcBorders>
              <w:left w:val="single" w:color="auto" w:sz="4" w:space="0"/>
              <w:right w:val="single" w:color="auto" w:sz="4" w:space="0"/>
            </w:tcBorders>
            <w:vAlign w:val="center"/>
          </w:tcPr>
          <w:p w14:paraId="29A53C28">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25B86370">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D113D">
            <w:pPr>
              <w:spacing w:after="0" w:afterLines="0" w:line="259" w:lineRule="auto"/>
              <w:ind w:right="108"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3053" w:type="pct"/>
            <w:tcBorders>
              <w:top w:val="single" w:color="auto" w:sz="4" w:space="0"/>
              <w:left w:val="single" w:color="auto" w:sz="4" w:space="0"/>
              <w:bottom w:val="single" w:color="auto" w:sz="4" w:space="0"/>
              <w:right w:val="single" w:color="auto" w:sz="4" w:space="0"/>
            </w:tcBorders>
            <w:vAlign w:val="center"/>
          </w:tcPr>
          <w:p w14:paraId="431E7824">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符合第二章“供应商须知前附表”规定</w:t>
            </w:r>
          </w:p>
        </w:tc>
      </w:tr>
      <w:tr w14:paraId="7BBD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continue"/>
            <w:tcBorders>
              <w:left w:val="single" w:color="auto" w:sz="4" w:space="0"/>
              <w:right w:val="single" w:color="auto" w:sz="4" w:space="0"/>
            </w:tcBorders>
            <w:vAlign w:val="center"/>
          </w:tcPr>
          <w:p w14:paraId="75BB24DB">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7615DABB">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2BB8C2C">
            <w:pPr>
              <w:spacing w:after="0" w:afterLines="0" w:line="259" w:lineRule="auto"/>
              <w:ind w:right="108" w:right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服务期限</w:t>
            </w:r>
          </w:p>
        </w:tc>
        <w:tc>
          <w:tcPr>
            <w:tcW w:w="3053" w:type="pct"/>
            <w:tcBorders>
              <w:top w:val="single" w:color="auto" w:sz="4" w:space="0"/>
              <w:left w:val="single" w:color="auto" w:sz="4" w:space="0"/>
              <w:bottom w:val="single" w:color="auto" w:sz="4" w:space="0"/>
              <w:right w:val="single" w:color="auto" w:sz="4" w:space="0"/>
            </w:tcBorders>
            <w:vAlign w:val="center"/>
          </w:tcPr>
          <w:p w14:paraId="31FBED84">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符合第二章“供应商须知前附表”规定</w:t>
            </w:r>
          </w:p>
        </w:tc>
      </w:tr>
      <w:tr w14:paraId="288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7" w:type="pct"/>
            <w:vMerge w:val="continue"/>
            <w:tcBorders>
              <w:left w:val="single" w:color="auto" w:sz="4" w:space="0"/>
              <w:right w:val="single" w:color="auto" w:sz="4" w:space="0"/>
            </w:tcBorders>
            <w:vAlign w:val="center"/>
          </w:tcPr>
          <w:p w14:paraId="331FAC22">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02B58F4B">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7450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质量要求</w:t>
            </w:r>
          </w:p>
        </w:tc>
        <w:tc>
          <w:tcPr>
            <w:tcW w:w="3053" w:type="pct"/>
            <w:tcBorders>
              <w:top w:val="single" w:color="auto" w:sz="4" w:space="0"/>
              <w:left w:val="single" w:color="auto" w:sz="4" w:space="0"/>
              <w:bottom w:val="single" w:color="auto" w:sz="4" w:space="0"/>
              <w:right w:val="single" w:color="auto" w:sz="4" w:space="0"/>
            </w:tcBorders>
            <w:vAlign w:val="center"/>
          </w:tcPr>
          <w:p w14:paraId="7545F470">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2367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17" w:type="pct"/>
            <w:vMerge w:val="continue"/>
            <w:tcBorders>
              <w:left w:val="single" w:color="auto" w:sz="4" w:space="0"/>
              <w:right w:val="single" w:color="auto" w:sz="4" w:space="0"/>
            </w:tcBorders>
            <w:vAlign w:val="center"/>
          </w:tcPr>
          <w:p w14:paraId="0196B2EA">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7DC044A">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4874D1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有效期</w:t>
            </w:r>
          </w:p>
        </w:tc>
        <w:tc>
          <w:tcPr>
            <w:tcW w:w="3053" w:type="pct"/>
            <w:tcBorders>
              <w:top w:val="single" w:color="auto" w:sz="4" w:space="0"/>
              <w:left w:val="single" w:color="auto" w:sz="4" w:space="0"/>
              <w:bottom w:val="single" w:color="auto" w:sz="4" w:space="0"/>
              <w:right w:val="single" w:color="auto" w:sz="4" w:space="0"/>
            </w:tcBorders>
            <w:vAlign w:val="center"/>
          </w:tcPr>
          <w:p w14:paraId="41EA3C6F">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符合第二章“供应商须知前附表”规定</w:t>
            </w:r>
          </w:p>
        </w:tc>
      </w:tr>
      <w:tr w14:paraId="2C9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7" w:type="pct"/>
            <w:vMerge w:val="continue"/>
            <w:tcBorders>
              <w:left w:val="single" w:color="auto" w:sz="4" w:space="0"/>
              <w:right w:val="single" w:color="auto" w:sz="4" w:space="0"/>
            </w:tcBorders>
            <w:vAlign w:val="center"/>
          </w:tcPr>
          <w:p w14:paraId="57733970">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D4AD077">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7867CBC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报价</w:t>
            </w:r>
          </w:p>
        </w:tc>
        <w:tc>
          <w:tcPr>
            <w:tcW w:w="3053" w:type="pct"/>
            <w:tcBorders>
              <w:top w:val="single" w:color="auto" w:sz="4" w:space="0"/>
              <w:left w:val="single" w:color="auto" w:sz="4" w:space="0"/>
              <w:bottom w:val="single" w:color="auto" w:sz="4" w:space="0"/>
              <w:right w:val="single" w:color="auto" w:sz="4" w:space="0"/>
            </w:tcBorders>
            <w:vAlign w:val="center"/>
          </w:tcPr>
          <w:p w14:paraId="2705822C">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供应商磋商</w:t>
            </w:r>
            <w:r>
              <w:rPr>
                <w:rFonts w:hint="eastAsia" w:ascii="宋体" w:hAnsi="宋体" w:eastAsia="宋体" w:cs="宋体"/>
                <w:kern w:val="0"/>
                <w:sz w:val="24"/>
                <w:szCs w:val="24"/>
              </w:rPr>
              <w:t>报价不得高于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公布的数额，否则其投标将被否决。</w:t>
            </w:r>
          </w:p>
        </w:tc>
      </w:tr>
      <w:tr w14:paraId="3E81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7" w:type="pct"/>
            <w:vMerge w:val="continue"/>
            <w:tcBorders>
              <w:left w:val="single" w:color="auto" w:sz="4" w:space="0"/>
              <w:right w:val="single" w:color="auto" w:sz="4" w:space="0"/>
            </w:tcBorders>
            <w:vAlign w:val="center"/>
          </w:tcPr>
          <w:p w14:paraId="100BC035">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928FCE6">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1D4AC3B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053" w:type="pct"/>
            <w:tcBorders>
              <w:top w:val="single" w:color="auto" w:sz="4" w:space="0"/>
              <w:left w:val="single" w:color="auto" w:sz="4" w:space="0"/>
              <w:bottom w:val="single" w:color="auto" w:sz="4" w:space="0"/>
              <w:right w:val="single" w:color="auto" w:sz="4" w:space="0"/>
            </w:tcBorders>
            <w:vAlign w:val="center"/>
          </w:tcPr>
          <w:p w14:paraId="3406BF49">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磋商文件规定的其他内容</w:t>
            </w:r>
          </w:p>
        </w:tc>
      </w:tr>
    </w:tbl>
    <w:p w14:paraId="56BA81D3">
      <w:pPr>
        <w:snapToGrid w:val="0"/>
        <w:spacing w:line="460" w:lineRule="exact"/>
        <w:ind w:left="1" w:firstLine="482" w:firstLineChars="200"/>
        <w:rPr>
          <w:rFonts w:ascii="宋体" w:hAnsi="宋体" w:eastAsia="宋体" w:cs="Times New Roman"/>
          <w:b/>
          <w:bCs/>
          <w:sz w:val="24"/>
          <w:szCs w:val="24"/>
        </w:rPr>
      </w:pPr>
    </w:p>
    <w:p w14:paraId="0449D28E">
      <w:pPr>
        <w:snapToGrid w:val="0"/>
        <w:spacing w:line="460" w:lineRule="exact"/>
        <w:ind w:firstLine="482" w:firstLineChars="200"/>
        <w:outlineLvl w:val="0"/>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、详细评审</w:t>
      </w:r>
    </w:p>
    <w:tbl>
      <w:tblPr>
        <w:tblStyle w:val="20"/>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3746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ign w:val="center"/>
          </w:tcPr>
          <w:p w14:paraId="739291D3">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20EAA447">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因素</w:t>
            </w:r>
          </w:p>
        </w:tc>
        <w:tc>
          <w:tcPr>
            <w:tcW w:w="1275" w:type="dxa"/>
            <w:noWrap/>
            <w:vAlign w:val="center"/>
          </w:tcPr>
          <w:p w14:paraId="62A5A61B">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5AACF876">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内容</w:t>
            </w:r>
          </w:p>
        </w:tc>
        <w:tc>
          <w:tcPr>
            <w:tcW w:w="6121" w:type="dxa"/>
            <w:noWrap/>
            <w:vAlign w:val="center"/>
          </w:tcPr>
          <w:p w14:paraId="39D30D7E">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c>
          <w:tcPr>
            <w:tcW w:w="838" w:type="dxa"/>
            <w:noWrap/>
            <w:vAlign w:val="center"/>
          </w:tcPr>
          <w:p w14:paraId="7C8A7DB0">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分值</w:t>
            </w:r>
          </w:p>
        </w:tc>
      </w:tr>
      <w:tr w14:paraId="0089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ign w:val="center"/>
          </w:tcPr>
          <w:p w14:paraId="72332266">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w:t>
            </w:r>
          </w:p>
          <w:p w14:paraId="385749F9">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w:t>
            </w:r>
          </w:p>
          <w:p w14:paraId="24CCF966">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p w14:paraId="3A094DCC">
            <w:pPr>
              <w:snapToGrid w:val="0"/>
              <w:spacing w:line="440" w:lineRule="exact"/>
              <w:jc w:val="center"/>
              <w:rPr>
                <w:rFonts w:ascii="宋体" w:hAnsi="宋体" w:eastAsia="宋体" w:cs="Times New Roman"/>
                <w:kern w:val="0"/>
                <w:sz w:val="24"/>
                <w:szCs w:val="24"/>
              </w:rPr>
            </w:pPr>
          </w:p>
        </w:tc>
        <w:tc>
          <w:tcPr>
            <w:tcW w:w="1275" w:type="dxa"/>
            <w:noWrap/>
            <w:vAlign w:val="center"/>
          </w:tcPr>
          <w:p w14:paraId="593AF512">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121" w:type="dxa"/>
            <w:noWrap/>
            <w:vAlign w:val="center"/>
          </w:tcPr>
          <w:p w14:paraId="456517F7">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3C9305C5">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13E2D15F">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1CB22AEE">
            <w:pPr>
              <w:spacing w:line="440" w:lineRule="exact"/>
              <w:rPr>
                <w:rFonts w:hint="eastAsia" w:ascii="宋体" w:hAnsi="宋体" w:eastAsia="宋体" w:cs="Times New Roman"/>
                <w:sz w:val="24"/>
                <w:szCs w:val="24"/>
                <w:lang w:val="en-US" w:eastAsia="zh-CN"/>
              </w:rPr>
            </w:pPr>
            <w:r>
              <w:rPr>
                <w:rFonts w:hint="eastAsia" w:ascii="宋体" w:hAnsi="宋体" w:cs="宋体"/>
                <w:bCs/>
                <w:sz w:val="24"/>
              </w:rPr>
              <w:t>供应商报价得分=（评标基准价/供应商投标报价）×30</w:t>
            </w:r>
          </w:p>
          <w:p w14:paraId="7148C71F">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4.参与计算的投标报价要考虑小微型企业产品的价格扣除因素。</w:t>
            </w:r>
          </w:p>
          <w:p w14:paraId="420A2C2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5.最终得分计算保留小数点后两位。</w:t>
            </w:r>
          </w:p>
          <w:p w14:paraId="549DE588">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00F18A">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w:t>
            </w:r>
          </w:p>
          <w:p w14:paraId="0D59BBAD">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为了促进中小企业发展，根据《三门峡市财政局关于进一步加大政府采购支持中小企业发展有关事项的通知》（三财购﹝2022﹞9号）的规定，对小微企业产品的价格给予10%～20%的扣除，本项目小微企业按20%扣除，用扣除后的价格参加评审（采购项目含有多个采购标的，只有当供应商提供的每个标的均由小微企业制造，才能享受价格扣除政策。如果小微供应商提供的货物既有中型企业制造货物，也有小微企业制造货物的，不享受价格扣除相关政策）。中小企业划型标准见《关于印发中小企业划型标准规定的通知》（工信部联企业[2011]300号）。</w:t>
            </w:r>
          </w:p>
          <w:p w14:paraId="26966849">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511083C5">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根据《关于政府采购支持监狱企业发展有关问题的通知》（财库[2014]68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29D76634">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（4）监狱企业、残疾人福利性单位属于小型、微型企业的，不重复享受政策，仅给予一次价格20%的扣除。</w:t>
            </w:r>
          </w:p>
          <w:p w14:paraId="3177054E">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磋商小组认为供应商的报价明显低于其他通过实质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c>
          <w:tcPr>
            <w:tcW w:w="838" w:type="dxa"/>
            <w:noWrap/>
            <w:vAlign w:val="center"/>
          </w:tcPr>
          <w:p w14:paraId="660A53F4">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tc>
      </w:tr>
      <w:tr w14:paraId="6701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50" w:type="dxa"/>
            <w:vMerge w:val="restart"/>
            <w:noWrap/>
            <w:vAlign w:val="center"/>
          </w:tcPr>
          <w:p w14:paraId="498EB4F3">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w:t>
            </w:r>
            <w:r>
              <w:rPr>
                <w:rFonts w:hint="eastAsia" w:ascii="宋体" w:hAnsi="宋体" w:eastAsia="宋体" w:cs="宋体"/>
                <w:sz w:val="24"/>
                <w:szCs w:val="24"/>
              </w:rPr>
              <w:t>标（</w:t>
            </w:r>
            <w:r>
              <w:rPr>
                <w:rFonts w:hint="eastAsia" w:ascii="宋体" w:hAnsi="宋体" w:eastAsia="宋体" w:cs="宋体"/>
                <w:sz w:val="24"/>
                <w:szCs w:val="24"/>
                <w:lang w:val="en-US" w:eastAsia="zh-CN"/>
              </w:rPr>
              <w:t>52</w:t>
            </w:r>
            <w:r>
              <w:rPr>
                <w:rFonts w:hint="eastAsia" w:ascii="宋体" w:hAnsi="宋体" w:eastAsia="宋体" w:cs="宋体"/>
                <w:sz w:val="24"/>
                <w:szCs w:val="24"/>
              </w:rPr>
              <w:t>分）</w:t>
            </w:r>
          </w:p>
        </w:tc>
        <w:tc>
          <w:tcPr>
            <w:tcW w:w="1275" w:type="dxa"/>
            <w:noWrap/>
            <w:vAlign w:val="center"/>
          </w:tcPr>
          <w:p w14:paraId="51BF1342">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技术参数响应情况</w:t>
            </w:r>
          </w:p>
        </w:tc>
        <w:tc>
          <w:tcPr>
            <w:tcW w:w="6121" w:type="dxa"/>
            <w:noWrap/>
            <w:vAlign w:val="center"/>
          </w:tcPr>
          <w:p w14:paraId="7E3FC67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所投产品的性能指标及技术参数满足招标文件要求，性能说明真实、详尽、合理得20分：技术参数中带“★”为重要指标，若投标响应文件中所投产品每有一项不满足扣2分，扣完为止；技术参数中无标记“★”的技术参数为一般技术指标，若投标响应文件中所投产品每有一项不满足招标文件要求，则扣1分，扣完为止。</w:t>
            </w:r>
          </w:p>
        </w:tc>
        <w:tc>
          <w:tcPr>
            <w:tcW w:w="838" w:type="dxa"/>
            <w:noWrap/>
            <w:vAlign w:val="center"/>
          </w:tcPr>
          <w:p w14:paraId="495566D8">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20分</w:t>
            </w:r>
          </w:p>
        </w:tc>
      </w:tr>
      <w:tr w14:paraId="2FD6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50" w:type="dxa"/>
            <w:vMerge w:val="continue"/>
            <w:noWrap/>
            <w:vAlign w:val="center"/>
          </w:tcPr>
          <w:p w14:paraId="70672A80">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77729923">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lang w:eastAsia="zh-CN"/>
              </w:rPr>
              <w:t>项目实施</w:t>
            </w:r>
          </w:p>
        </w:tc>
        <w:tc>
          <w:tcPr>
            <w:tcW w:w="6121" w:type="dxa"/>
            <w:noWrap/>
            <w:vAlign w:val="center"/>
          </w:tcPr>
          <w:p w14:paraId="28D38F02">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投标人针对本项目提供项目建设实施方案：①项目勘察情况②灯具替换方案③安全文明施工④施工进度保障等。</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注：评委根据方案的完整性、规范性、可行性等进行酌情打分。</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（1）方案完整，内容详尽，考虑周全，可行性强的得12分；</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（2）方案基本完整、内容一般，考虑相对片面，可行性一般的得6分；</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（3）方案内容简单，空泛，可行度低的得2分；                                                                                  （4）未提供不得分。</w:t>
            </w:r>
          </w:p>
        </w:tc>
        <w:tc>
          <w:tcPr>
            <w:tcW w:w="838" w:type="dxa"/>
            <w:noWrap/>
            <w:vAlign w:val="center"/>
          </w:tcPr>
          <w:p w14:paraId="79209D3C">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12分</w:t>
            </w:r>
          </w:p>
        </w:tc>
      </w:tr>
      <w:tr w14:paraId="5415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50" w:type="dxa"/>
            <w:vMerge w:val="continue"/>
            <w:noWrap/>
            <w:vAlign w:val="center"/>
          </w:tcPr>
          <w:p w14:paraId="11FE2009">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4578268A">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lang w:eastAsia="zh-CN"/>
              </w:rPr>
              <w:t>保障措施</w:t>
            </w:r>
          </w:p>
        </w:tc>
        <w:tc>
          <w:tcPr>
            <w:tcW w:w="6121" w:type="dxa"/>
            <w:noWrap/>
            <w:vAlign w:val="center"/>
          </w:tcPr>
          <w:p w14:paraId="7A0D2059">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投标人针对本项目服务需求提供针对本项目保障措施，方案包含①质量保障措施②应急响应措施③安全保障措施等。</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注：评委根据方案的完整性、规范性、可行性等进行酌情打分。</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（1）方案完整，内容详尽，考虑周全，可行性强的得6分；</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（2）方案基本完整、内容一般，考虑相对片面，可行性一般的得3分；</w:t>
            </w:r>
          </w:p>
          <w:p w14:paraId="356C8C1A">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（3）方案内容简单，空泛，可行度低的得1分；                                                                          （4）未提供不得分。</w:t>
            </w:r>
          </w:p>
        </w:tc>
        <w:tc>
          <w:tcPr>
            <w:tcW w:w="838" w:type="dxa"/>
            <w:noWrap/>
            <w:vAlign w:val="center"/>
          </w:tcPr>
          <w:p w14:paraId="69AA89BF">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1EDF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1150" w:type="dxa"/>
            <w:vMerge w:val="continue"/>
            <w:noWrap/>
            <w:vAlign w:val="center"/>
          </w:tcPr>
          <w:p w14:paraId="78E1191A">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560BC248">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售后服务</w:t>
            </w:r>
          </w:p>
        </w:tc>
        <w:tc>
          <w:tcPr>
            <w:tcW w:w="6121" w:type="dxa"/>
            <w:noWrap/>
            <w:vAlign w:val="center"/>
          </w:tcPr>
          <w:p w14:paraId="2DFCA9C5">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投标人针对本项目服务需求提供针对本项目售后服务方案，方案包含①服务内容②服务承诺③服务时间④服务方式等。</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注：评委根据方案的完整性、规范性、可行性等进行酌情打分。</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（1）方案完整，内容详尽，考虑周全，可行性强的得10分；</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（2）方案基本完整、内容一般，考虑相对片面，可行性一般的得5分；</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（3）方案内容简单，空泛，可行度低的得2分；                                    （4）未提供不得分。</w:t>
            </w:r>
          </w:p>
        </w:tc>
        <w:tc>
          <w:tcPr>
            <w:tcW w:w="838" w:type="dxa"/>
            <w:noWrap/>
            <w:vAlign w:val="center"/>
          </w:tcPr>
          <w:p w14:paraId="0F968C59">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1739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continue"/>
            <w:noWrap/>
            <w:vAlign w:val="center"/>
          </w:tcPr>
          <w:p w14:paraId="50399253">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78911A0">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数据保密</w:t>
            </w:r>
          </w:p>
        </w:tc>
        <w:tc>
          <w:tcPr>
            <w:tcW w:w="6121" w:type="dxa"/>
            <w:noWrap/>
            <w:vAlign w:val="center"/>
          </w:tcPr>
          <w:p w14:paraId="1F4960B8">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项目资料管理及数据保密制度健全，保密措施得力等：</w:t>
            </w:r>
          </w:p>
          <w:p w14:paraId="30E0861C">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方案内容完整、全面合理、准确详实得4分；方案内容基本完整、准确、基本合理的得2分；方案不全、缺少基本内容的不得分。</w:t>
            </w:r>
          </w:p>
        </w:tc>
        <w:tc>
          <w:tcPr>
            <w:tcW w:w="838" w:type="dxa"/>
            <w:noWrap/>
            <w:vAlign w:val="center"/>
          </w:tcPr>
          <w:p w14:paraId="0DDA4441">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69D1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restart"/>
            <w:noWrap/>
            <w:vAlign w:val="center"/>
          </w:tcPr>
          <w:p w14:paraId="59070A53">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商务标（</w:t>
            </w:r>
            <w:r>
              <w:rPr>
                <w:rFonts w:hint="eastAsia" w:ascii="宋体" w:hAnsi="宋体" w:eastAsia="宋体" w:cs="Times New Roman"/>
                <w:kern w:val="0"/>
                <w:sz w:val="24"/>
                <w:szCs w:val="24"/>
                <w:lang w:val="en-US" w:eastAsia="zh-CN"/>
              </w:rPr>
              <w:t>18</w:t>
            </w:r>
            <w:r>
              <w:rPr>
                <w:rFonts w:hint="eastAsia" w:ascii="宋体" w:hAnsi="宋体" w:eastAsia="宋体" w:cs="Times New Roman"/>
                <w:kern w:val="0"/>
                <w:sz w:val="24"/>
                <w:szCs w:val="24"/>
              </w:rPr>
              <w:t>分）</w:t>
            </w:r>
          </w:p>
        </w:tc>
        <w:tc>
          <w:tcPr>
            <w:tcW w:w="1275" w:type="dxa"/>
            <w:noWrap/>
            <w:vAlign w:val="center"/>
          </w:tcPr>
          <w:p w14:paraId="70E1C3F0">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类似业绩</w:t>
            </w:r>
          </w:p>
        </w:tc>
        <w:tc>
          <w:tcPr>
            <w:tcW w:w="6121" w:type="dxa"/>
            <w:noWrap/>
            <w:vAlign w:val="top"/>
          </w:tcPr>
          <w:p w14:paraId="3696231C">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生产厂家自2022年1月1日至投标截止日期，每提供1个类似经营业绩计2分，最多计4分，未提供不计分。须提供中标通知书和经营业绩的合同扫描件（包括合同首页、金额页和盖章页），并标记同类产品，盖投标人公章。否则，不计分。</w:t>
            </w:r>
          </w:p>
          <w:p w14:paraId="0AC09958">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说明：业绩包含归属集团及相关子公司、分支机构业绩，同一年度内与同一采购人签订的采购内容相同的多份合同按一份合同计算。</w:t>
            </w:r>
          </w:p>
        </w:tc>
        <w:tc>
          <w:tcPr>
            <w:tcW w:w="838" w:type="dxa"/>
            <w:noWrap/>
            <w:vAlign w:val="center"/>
          </w:tcPr>
          <w:p w14:paraId="5C694025">
            <w:pPr>
              <w:spacing w:before="156"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0004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50" w:type="dxa"/>
            <w:vMerge w:val="continue"/>
            <w:noWrap/>
            <w:vAlign w:val="center"/>
          </w:tcPr>
          <w:p w14:paraId="38BE40B5">
            <w:pPr>
              <w:snapToGrid w:val="0"/>
              <w:spacing w:line="440" w:lineRule="exact"/>
              <w:jc w:val="center"/>
              <w:rPr>
                <w:rFonts w:hint="eastAsia" w:ascii="宋体" w:hAnsi="宋体" w:eastAsia="宋体" w:cs="Times New Roman"/>
                <w:kern w:val="0"/>
                <w:sz w:val="24"/>
                <w:szCs w:val="24"/>
              </w:rPr>
            </w:pPr>
          </w:p>
        </w:tc>
        <w:tc>
          <w:tcPr>
            <w:tcW w:w="1275" w:type="dxa"/>
            <w:vMerge w:val="restart"/>
            <w:noWrap/>
            <w:vAlign w:val="center"/>
          </w:tcPr>
          <w:p w14:paraId="7ED6D09C">
            <w:pPr>
              <w:spacing w:line="44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企业综合实力</w:t>
            </w:r>
          </w:p>
        </w:tc>
        <w:tc>
          <w:tcPr>
            <w:tcW w:w="6121" w:type="dxa"/>
            <w:noWrap/>
            <w:vAlign w:val="center"/>
          </w:tcPr>
          <w:p w14:paraId="701F762C">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所投产品供应商同时具有CCRC信息安全服务资质认证证书-信息系统安全集成、CCRC信息安全服务资质认证证书-信息系统安全运维、CCRC信息安全服务资质认证证书-信息安全应急处理三级及三级以上认证的，得3分，缺项得1分，不提供不得分。</w:t>
            </w:r>
          </w:p>
        </w:tc>
        <w:tc>
          <w:tcPr>
            <w:tcW w:w="838" w:type="dxa"/>
            <w:noWrap/>
            <w:vAlign w:val="center"/>
          </w:tcPr>
          <w:p w14:paraId="644C950F">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分</w:t>
            </w:r>
          </w:p>
        </w:tc>
      </w:tr>
      <w:tr w14:paraId="5937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50" w:type="dxa"/>
            <w:vMerge w:val="continue"/>
            <w:noWrap/>
            <w:vAlign w:val="center"/>
          </w:tcPr>
          <w:p w14:paraId="48F585B6">
            <w:pPr>
              <w:snapToGrid w:val="0"/>
              <w:spacing w:line="440" w:lineRule="exact"/>
              <w:jc w:val="center"/>
              <w:rPr>
                <w:rFonts w:hint="eastAsia" w:ascii="宋体" w:hAnsi="宋体" w:eastAsia="宋体" w:cs="Times New Roman"/>
                <w:kern w:val="0"/>
                <w:sz w:val="24"/>
                <w:szCs w:val="24"/>
              </w:rPr>
            </w:pPr>
          </w:p>
        </w:tc>
        <w:tc>
          <w:tcPr>
            <w:tcW w:w="1275" w:type="dxa"/>
            <w:vMerge w:val="continue"/>
            <w:noWrap/>
            <w:vAlign w:val="center"/>
          </w:tcPr>
          <w:p w14:paraId="2FB99051">
            <w:pPr>
              <w:spacing w:line="440" w:lineRule="exact"/>
              <w:jc w:val="center"/>
              <w:rPr>
                <w:rFonts w:hint="eastAsia" w:ascii="宋体" w:hAnsi="宋体" w:eastAsia="宋体" w:cs="Times New Roman"/>
                <w:sz w:val="24"/>
                <w:szCs w:val="24"/>
              </w:rPr>
            </w:pPr>
          </w:p>
        </w:tc>
        <w:tc>
          <w:tcPr>
            <w:tcW w:w="6121" w:type="dxa"/>
            <w:noWrap/>
            <w:vAlign w:val="center"/>
          </w:tcPr>
          <w:p w14:paraId="492F8F89">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所投产品供应商拟投入本项目的团队配备不低于高级系统架构师1名，高级系统分析师1名、高级系统规划与管理师1名、信息系统项目管理师1名。人员不可兼任，要求所有人员均为投标人或所投产品制造厂商正式员工，具有3年以上工作经验。满足得4分，缺项得2分，不提供不得分。</w:t>
            </w:r>
          </w:p>
          <w:p w14:paraId="7007E36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注：需提供拟投入本项目人员的本年度连续3个月的社保缴纳证明。</w:t>
            </w:r>
          </w:p>
        </w:tc>
        <w:tc>
          <w:tcPr>
            <w:tcW w:w="838" w:type="dxa"/>
            <w:noWrap/>
            <w:vAlign w:val="center"/>
          </w:tcPr>
          <w:p w14:paraId="76E99170">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分</w:t>
            </w:r>
          </w:p>
        </w:tc>
      </w:tr>
      <w:tr w14:paraId="3717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50" w:type="dxa"/>
            <w:vMerge w:val="continue"/>
            <w:noWrap/>
            <w:vAlign w:val="center"/>
          </w:tcPr>
          <w:p w14:paraId="19487673">
            <w:pPr>
              <w:snapToGrid w:val="0"/>
              <w:spacing w:line="440" w:lineRule="exact"/>
              <w:jc w:val="center"/>
              <w:rPr>
                <w:rFonts w:hint="eastAsia" w:ascii="宋体" w:hAnsi="宋体" w:eastAsia="宋体" w:cs="Times New Roman"/>
                <w:kern w:val="0"/>
                <w:sz w:val="24"/>
                <w:szCs w:val="24"/>
              </w:rPr>
            </w:pPr>
          </w:p>
        </w:tc>
        <w:tc>
          <w:tcPr>
            <w:tcW w:w="1275" w:type="dxa"/>
            <w:vMerge w:val="continue"/>
            <w:noWrap/>
            <w:vAlign w:val="center"/>
          </w:tcPr>
          <w:p w14:paraId="35C6B7B2">
            <w:pPr>
              <w:spacing w:line="440" w:lineRule="exact"/>
              <w:jc w:val="center"/>
              <w:rPr>
                <w:rFonts w:hint="eastAsia" w:ascii="宋体" w:hAnsi="宋体" w:eastAsia="宋体" w:cs="Times New Roman"/>
                <w:sz w:val="24"/>
                <w:szCs w:val="24"/>
              </w:rPr>
            </w:pPr>
          </w:p>
        </w:tc>
        <w:tc>
          <w:tcPr>
            <w:tcW w:w="6121" w:type="dxa"/>
            <w:noWrap/>
            <w:vAlign w:val="center"/>
          </w:tcPr>
          <w:p w14:paraId="6DBA477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投标人或所投产品供应商拟投入本项目的项目负责人需同时具备信息系统项目管理师（高级）、一级建造师（通信与广电或机电工程专业）。满足得4分，缺项得2分，不提供不得分。</w:t>
            </w:r>
          </w:p>
          <w:p w14:paraId="1329F474">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注：需提供拟投入本项目人员的本年度连续3个月的社保缴纳证明。</w:t>
            </w:r>
          </w:p>
        </w:tc>
        <w:tc>
          <w:tcPr>
            <w:tcW w:w="838" w:type="dxa"/>
            <w:noWrap/>
            <w:vAlign w:val="center"/>
          </w:tcPr>
          <w:p w14:paraId="275B24A5">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分</w:t>
            </w:r>
          </w:p>
        </w:tc>
      </w:tr>
      <w:tr w14:paraId="614D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50" w:type="dxa"/>
            <w:vMerge w:val="continue"/>
            <w:noWrap/>
            <w:vAlign w:val="center"/>
          </w:tcPr>
          <w:p w14:paraId="5118A935">
            <w:pPr>
              <w:snapToGrid w:val="0"/>
              <w:spacing w:line="440" w:lineRule="exact"/>
              <w:jc w:val="center"/>
              <w:rPr>
                <w:rFonts w:hint="eastAsia" w:ascii="宋体" w:hAnsi="宋体" w:eastAsia="宋体" w:cs="Times New Roman"/>
                <w:kern w:val="0"/>
                <w:sz w:val="24"/>
                <w:szCs w:val="24"/>
              </w:rPr>
            </w:pPr>
          </w:p>
        </w:tc>
        <w:tc>
          <w:tcPr>
            <w:tcW w:w="1275" w:type="dxa"/>
            <w:vMerge w:val="continue"/>
            <w:noWrap/>
            <w:vAlign w:val="center"/>
          </w:tcPr>
          <w:p w14:paraId="063208B3">
            <w:pPr>
              <w:spacing w:line="440" w:lineRule="exact"/>
              <w:jc w:val="center"/>
              <w:rPr>
                <w:rFonts w:hint="eastAsia" w:ascii="宋体" w:hAnsi="宋体" w:eastAsia="宋体" w:cs="Times New Roman"/>
                <w:sz w:val="24"/>
                <w:szCs w:val="24"/>
              </w:rPr>
            </w:pPr>
          </w:p>
        </w:tc>
        <w:tc>
          <w:tcPr>
            <w:tcW w:w="6121" w:type="dxa"/>
            <w:noWrap/>
            <w:vAlign w:val="center"/>
          </w:tcPr>
          <w:p w14:paraId="27D35B59">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投标人或所投产品供应商具有DCMM数据管理能力成熟度（乙方）二级及二级以上资质，提供得3分，不提供不得分。</w:t>
            </w:r>
          </w:p>
        </w:tc>
        <w:tc>
          <w:tcPr>
            <w:tcW w:w="838" w:type="dxa"/>
            <w:noWrap/>
            <w:vAlign w:val="center"/>
          </w:tcPr>
          <w:p w14:paraId="55303397">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3分</w:t>
            </w:r>
          </w:p>
        </w:tc>
      </w:tr>
    </w:tbl>
    <w:p w14:paraId="19688F2C">
      <w:pPr>
        <w:spacing w:line="420" w:lineRule="exact"/>
        <w:rPr>
          <w:rFonts w:ascii="宋体" w:hAnsi="宋体" w:eastAsia="宋体" w:cs="Times New Roman"/>
          <w:b/>
          <w:bCs/>
          <w:sz w:val="24"/>
          <w:szCs w:val="24"/>
        </w:rPr>
      </w:pPr>
    </w:p>
    <w:p w14:paraId="2451CF45">
      <w:pPr>
        <w:spacing w:line="420" w:lineRule="exac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计分办法</w:t>
      </w:r>
    </w:p>
    <w:p w14:paraId="1F790E7A">
      <w:pPr>
        <w:spacing w:line="420" w:lineRule="exact"/>
        <w:rPr>
          <w:rFonts w:ascii="宋体" w:hAnsi="宋体" w:eastAsia="宋体" w:cs="Times New Roman"/>
          <w:sz w:val="24"/>
          <w:szCs w:val="24"/>
        </w:rPr>
      </w:pPr>
      <w:r>
        <w:rPr>
          <w:rFonts w:ascii="宋体" w:hAnsi="宋体" w:eastAsia="宋体" w:cs="Times New Roman"/>
          <w:sz w:val="24"/>
          <w:szCs w:val="24"/>
        </w:rPr>
        <w:t xml:space="preserve">  5.1</w:t>
      </w:r>
      <w:r>
        <w:rPr>
          <w:rFonts w:hint="eastAsia" w:ascii="宋体" w:hAnsi="宋体" w:eastAsia="宋体" w:cs="Times New Roman"/>
          <w:sz w:val="24"/>
          <w:szCs w:val="24"/>
        </w:rPr>
        <w:t>计分过程中按四舍五入的法则，取至小数点后</w:t>
      </w:r>
      <w:r>
        <w:rPr>
          <w:rFonts w:ascii="宋体" w:hAnsi="宋体" w:eastAsia="宋体" w:cs="Times New Roman"/>
          <w:sz w:val="24"/>
          <w:szCs w:val="24"/>
        </w:rPr>
        <w:t>2</w:t>
      </w:r>
      <w:r>
        <w:rPr>
          <w:rFonts w:hint="eastAsia" w:ascii="宋体" w:hAnsi="宋体" w:eastAsia="宋体" w:cs="Times New Roman"/>
          <w:sz w:val="24"/>
          <w:szCs w:val="24"/>
        </w:rPr>
        <w:t>位，磋商响应供应商的最终得分为所有磋商小组打分的算术平均值，最终结果取至小数点后</w:t>
      </w:r>
      <w:r>
        <w:rPr>
          <w:rFonts w:ascii="宋体" w:hAnsi="宋体" w:eastAsia="宋体" w:cs="Times New Roman"/>
          <w:sz w:val="24"/>
          <w:szCs w:val="24"/>
        </w:rPr>
        <w:t>2</w:t>
      </w:r>
      <w:r>
        <w:rPr>
          <w:rFonts w:hint="eastAsia" w:ascii="宋体" w:hAnsi="宋体" w:eastAsia="宋体" w:cs="Times New Roman"/>
          <w:sz w:val="24"/>
          <w:szCs w:val="24"/>
        </w:rPr>
        <w:t>位。磋商小组将按磋商响应供应商得分高低排序向采购人推荐成交候选供应商，并标明顺序。</w:t>
      </w:r>
    </w:p>
    <w:p w14:paraId="6F8B6913">
      <w:pPr>
        <w:spacing w:line="420" w:lineRule="exact"/>
        <w:rPr>
          <w:rFonts w:ascii="宋体" w:hAnsi="宋体" w:eastAsia="宋体" w:cs="Times New Roman"/>
          <w:b/>
          <w:bCs/>
          <w:kern w:val="0"/>
          <w:sz w:val="24"/>
          <w:szCs w:val="24"/>
        </w:rPr>
      </w:pPr>
      <w:r>
        <w:rPr>
          <w:rFonts w:ascii="宋体" w:hAnsi="宋体" w:eastAsia="宋体" w:cs="Times New Roman"/>
          <w:b/>
          <w:bCs/>
          <w:kern w:val="0"/>
          <w:sz w:val="24"/>
          <w:szCs w:val="24"/>
        </w:rPr>
        <w:t xml:space="preserve">  6.</w:t>
      </w:r>
      <w:r>
        <w:rPr>
          <w:rFonts w:hint="eastAsia" w:ascii="宋体" w:hAnsi="宋体" w:eastAsia="宋体" w:cs="Times New Roman"/>
          <w:b/>
          <w:bCs/>
          <w:kern w:val="0"/>
          <w:sz w:val="24"/>
          <w:szCs w:val="24"/>
        </w:rPr>
        <w:t>定标</w:t>
      </w:r>
    </w:p>
    <w:p w14:paraId="0A634E1F">
      <w:pPr>
        <w:spacing w:line="420" w:lineRule="exact"/>
        <w:ind w:firstLine="240" w:firstLineChars="100"/>
        <w:rPr>
          <w:rFonts w:ascii="宋体" w:hAnsi="宋体" w:eastAsia="宋体" w:cs="宋体"/>
          <w:sz w:val="24"/>
          <w:szCs w:val="24"/>
        </w:rPr>
      </w:pPr>
      <w:r>
        <w:rPr>
          <w:rFonts w:ascii="宋体" w:hAnsi="宋体" w:eastAsia="宋体" w:cs="Times New Roman"/>
          <w:sz w:val="24"/>
          <w:szCs w:val="24"/>
        </w:rPr>
        <w:t>6.1</w:t>
      </w:r>
      <w:r>
        <w:rPr>
          <w:rFonts w:hint="eastAsia" w:ascii="宋体" w:hAnsi="宋体" w:eastAsia="宋体" w:cs="宋体"/>
          <w:sz w:val="24"/>
          <w:szCs w:val="24"/>
        </w:rPr>
        <w:t>根据磋商小组计分结果, 按照评审由高到低的顺序推荐成交候选供应商，并向采购人提供书面评审报告。</w:t>
      </w:r>
    </w:p>
    <w:p w14:paraId="2022B56C">
      <w:pPr>
        <w:rPr>
          <w:rFonts w:hint="eastAsia"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2D24819B">
      <w:pPr>
        <w:spacing w:line="500" w:lineRule="exact"/>
        <w:ind w:firstLine="2570" w:firstLineChars="800"/>
        <w:outlineLvl w:val="0"/>
        <w:rPr>
          <w:rFonts w:ascii="宋体" w:hAnsi="宋体" w:eastAsia="宋体" w:cs="Times New Roman"/>
          <w:b/>
          <w:bCs/>
          <w:kern w:val="44"/>
          <w:sz w:val="44"/>
          <w:szCs w:val="44"/>
        </w:rPr>
      </w:pPr>
      <w:r>
        <w:rPr>
          <w:rFonts w:hint="eastAsia" w:ascii="宋体" w:hAnsi="宋体" w:eastAsia="宋体" w:cs="Times New Roman"/>
          <w:b/>
          <w:bCs/>
          <w:kern w:val="44"/>
          <w:sz w:val="32"/>
          <w:szCs w:val="32"/>
        </w:rPr>
        <w:t>第五章</w:t>
      </w:r>
      <w:bookmarkStart w:id="2" w:name="_Toc7902"/>
      <w:bookmarkEnd w:id="2"/>
      <w:bookmarkStart w:id="3" w:name="_Toc331669567"/>
      <w:bookmarkEnd w:id="3"/>
      <w:bookmarkStart w:id="4" w:name="_Toc269828235"/>
      <w:bookmarkEnd w:id="4"/>
      <w:bookmarkStart w:id="5" w:name="_Toc269828236"/>
      <w:r>
        <w:rPr>
          <w:rFonts w:hint="eastAsia" w:ascii="宋体" w:hAnsi="宋体" w:eastAsia="宋体" w:cs="Times New Roman"/>
          <w:b/>
          <w:bCs/>
          <w:kern w:val="44"/>
          <w:sz w:val="32"/>
          <w:szCs w:val="32"/>
        </w:rPr>
        <w:t>合同主要条款</w:t>
      </w:r>
      <w:bookmarkEnd w:id="5"/>
      <w:r>
        <w:rPr>
          <w:rFonts w:hint="eastAsia" w:ascii="宋体" w:hAnsi="宋体" w:eastAsia="宋体" w:cs="Times New Roman"/>
          <w:b/>
          <w:bCs/>
          <w:kern w:val="44"/>
          <w:sz w:val="32"/>
          <w:szCs w:val="32"/>
        </w:rPr>
        <w:t>及格式</w:t>
      </w:r>
    </w:p>
    <w:p w14:paraId="0754EB7E">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（此格式仅供参考，以双方最终签订合同为准）</w:t>
      </w:r>
    </w:p>
    <w:p w14:paraId="05FFE60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p>
    <w:p w14:paraId="3DF245D0">
      <w:pPr>
        <w:spacing w:line="500" w:lineRule="exact"/>
        <w:ind w:firstLine="638" w:firstLineChars="228"/>
        <w:rPr>
          <w:rFonts w:ascii="仿宋" w:hAnsi="仿宋" w:eastAsia="宋体" w:cs="Times New Roman"/>
          <w:color w:val="000000"/>
          <w:sz w:val="28"/>
          <w:szCs w:val="28"/>
        </w:rPr>
      </w:pPr>
      <w:r>
        <w:rPr>
          <w:rFonts w:hint="eastAsia" w:ascii="仿宋" w:hAnsi="仿宋" w:eastAsia="仿宋" w:cs="Times New Roman"/>
          <w:color w:val="000000"/>
          <w:sz w:val="28"/>
          <w:szCs w:val="28"/>
        </w:rPr>
        <w:t>乙方:</w:t>
      </w:r>
    </w:p>
    <w:p w14:paraId="1E7D1D06">
      <w:pPr>
        <w:spacing w:line="480" w:lineRule="exact"/>
        <w:ind w:firstLine="750" w:firstLineChars="250"/>
        <w:rPr>
          <w:rFonts w:ascii="仿宋" w:hAnsi="仿宋" w:eastAsia="仿宋" w:cs="Times New Roman"/>
          <w:sz w:val="30"/>
          <w:szCs w:val="30"/>
        </w:rPr>
      </w:pPr>
      <w:r>
        <w:rPr>
          <w:rFonts w:hint="eastAsia" w:ascii="仿宋" w:hAnsi="仿宋" w:eastAsia="仿宋" w:cs="Times New Roman"/>
          <w:sz w:val="30"/>
          <w:szCs w:val="30"/>
        </w:rPr>
        <w:t>依据《中华人民共和国民法典》的相关规定，现依照相关法律法规及竞争性磋商文件内容，经双方协商一致，签订本合同。</w:t>
      </w:r>
    </w:p>
    <w:p w14:paraId="3F97AA6A">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第一条　1.货物的名称、产地、品牌规格、数量、配置及单价</w:t>
      </w:r>
    </w:p>
    <w:tbl>
      <w:tblPr>
        <w:tblStyle w:val="20"/>
        <w:tblW w:w="507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88"/>
        <w:gridCol w:w="2183"/>
        <w:gridCol w:w="2334"/>
        <w:gridCol w:w="2023"/>
      </w:tblGrid>
      <w:tr w14:paraId="1BF4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3" w:type="pct"/>
            <w:noWrap/>
            <w:vAlign w:val="center"/>
          </w:tcPr>
          <w:p w14:paraId="1E6AE503">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名  称</w:t>
            </w:r>
          </w:p>
        </w:tc>
        <w:tc>
          <w:tcPr>
            <w:tcW w:w="570" w:type="pct"/>
            <w:noWrap/>
            <w:vAlign w:val="center"/>
          </w:tcPr>
          <w:p w14:paraId="65CE17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品牌</w:t>
            </w:r>
          </w:p>
        </w:tc>
        <w:tc>
          <w:tcPr>
            <w:tcW w:w="1144" w:type="pct"/>
            <w:noWrap/>
            <w:vAlign w:val="center"/>
          </w:tcPr>
          <w:p w14:paraId="774CEDD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规格型号</w:t>
            </w:r>
          </w:p>
        </w:tc>
        <w:tc>
          <w:tcPr>
            <w:tcW w:w="1223" w:type="pct"/>
            <w:noWrap/>
            <w:vAlign w:val="center"/>
          </w:tcPr>
          <w:p w14:paraId="5FE994B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数 量</w:t>
            </w:r>
          </w:p>
        </w:tc>
        <w:tc>
          <w:tcPr>
            <w:tcW w:w="1059" w:type="pct"/>
            <w:noWrap/>
            <w:vAlign w:val="center"/>
          </w:tcPr>
          <w:p w14:paraId="449966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金额</w:t>
            </w:r>
          </w:p>
        </w:tc>
      </w:tr>
      <w:tr w14:paraId="120E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3" w:type="pct"/>
            <w:noWrap/>
            <w:vAlign w:val="center"/>
          </w:tcPr>
          <w:p w14:paraId="42CC03C2">
            <w:pPr>
              <w:spacing w:line="500" w:lineRule="exact"/>
              <w:jc w:val="center"/>
              <w:rPr>
                <w:rFonts w:ascii="仿宋" w:hAnsi="仿宋" w:eastAsia="仿宋" w:cs="Times New Roman"/>
                <w:color w:val="000000"/>
                <w:sz w:val="24"/>
                <w:szCs w:val="24"/>
              </w:rPr>
            </w:pPr>
          </w:p>
        </w:tc>
        <w:tc>
          <w:tcPr>
            <w:tcW w:w="570" w:type="pct"/>
            <w:noWrap/>
            <w:vAlign w:val="center"/>
          </w:tcPr>
          <w:p w14:paraId="0076FB05">
            <w:pPr>
              <w:spacing w:line="500" w:lineRule="exact"/>
              <w:jc w:val="center"/>
              <w:rPr>
                <w:rFonts w:ascii="楷体" w:hAnsi="楷体" w:eastAsia="楷体" w:cs="Times New Roman"/>
                <w:color w:val="000000"/>
                <w:sz w:val="24"/>
                <w:szCs w:val="24"/>
              </w:rPr>
            </w:pPr>
          </w:p>
        </w:tc>
        <w:tc>
          <w:tcPr>
            <w:tcW w:w="1144" w:type="pct"/>
            <w:noWrap/>
            <w:vAlign w:val="center"/>
          </w:tcPr>
          <w:p w14:paraId="661B52B0">
            <w:pPr>
              <w:spacing w:line="500" w:lineRule="exact"/>
              <w:jc w:val="center"/>
              <w:rPr>
                <w:rFonts w:ascii="仿宋" w:hAnsi="仿宋" w:eastAsia="仿宋" w:cs="Times New Roman"/>
                <w:color w:val="000000"/>
                <w:sz w:val="24"/>
                <w:szCs w:val="24"/>
              </w:rPr>
            </w:pPr>
          </w:p>
        </w:tc>
        <w:tc>
          <w:tcPr>
            <w:tcW w:w="1223" w:type="pct"/>
            <w:noWrap/>
            <w:vAlign w:val="center"/>
          </w:tcPr>
          <w:p w14:paraId="61E4381D">
            <w:pPr>
              <w:spacing w:line="500" w:lineRule="exact"/>
              <w:jc w:val="center"/>
              <w:rPr>
                <w:rFonts w:ascii="仿宋" w:hAnsi="仿宋" w:eastAsia="仿宋" w:cs="Times New Roman"/>
                <w:color w:val="000000"/>
                <w:sz w:val="24"/>
                <w:szCs w:val="24"/>
              </w:rPr>
            </w:pPr>
          </w:p>
        </w:tc>
        <w:tc>
          <w:tcPr>
            <w:tcW w:w="1059" w:type="pct"/>
            <w:noWrap/>
            <w:vAlign w:val="center"/>
          </w:tcPr>
          <w:p w14:paraId="54CAF6FC">
            <w:pPr>
              <w:spacing w:line="500" w:lineRule="exact"/>
              <w:jc w:val="center"/>
              <w:rPr>
                <w:rFonts w:ascii="仿宋" w:hAnsi="仿宋" w:eastAsia="仿宋" w:cs="Times New Roman"/>
                <w:color w:val="000000"/>
                <w:sz w:val="24"/>
                <w:szCs w:val="24"/>
              </w:rPr>
            </w:pPr>
          </w:p>
        </w:tc>
      </w:tr>
      <w:tr w14:paraId="1543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3" w:type="pct"/>
            <w:noWrap/>
            <w:vAlign w:val="center"/>
          </w:tcPr>
          <w:p w14:paraId="48D988E5">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合计：</w:t>
            </w:r>
          </w:p>
        </w:tc>
        <w:tc>
          <w:tcPr>
            <w:tcW w:w="3997" w:type="pct"/>
            <w:gridSpan w:val="4"/>
            <w:noWrap/>
            <w:vAlign w:val="center"/>
          </w:tcPr>
          <w:p w14:paraId="67231BFE">
            <w:pPr>
              <w:widowControl/>
              <w:jc w:val="left"/>
              <w:textAlignment w:val="center"/>
              <w:rPr>
                <w:rFonts w:ascii="宋体" w:hAnsi="宋体" w:eastAsia="宋体" w:cs="宋体"/>
                <w:color w:val="000000"/>
                <w:sz w:val="22"/>
              </w:rPr>
            </w:pPr>
          </w:p>
        </w:tc>
      </w:tr>
    </w:tbl>
    <w:p w14:paraId="06C56424">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以上金额包括项目实施所需的人工费、服务费、运输费、安装调试费、设备价款、备品备件费、检验费、包装费、装卸费、税金（含关税、增值税）、施工费、检测验收费、培训费等各项与此项目有关的一切费用。</w:t>
      </w:r>
    </w:p>
    <w:p w14:paraId="203B9F8C">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第二条　产品的交货单位、交货时间、包装与运输、到货地点。</w:t>
      </w:r>
    </w:p>
    <w:p w14:paraId="7A3A0E87">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1．产品的交货地点：。 </w:t>
      </w:r>
    </w:p>
    <w:p w14:paraId="056436A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2．交货时间：乙方于年月日前完成交货、安装、调试合格并交付甲方使用。</w:t>
      </w:r>
    </w:p>
    <w:p w14:paraId="11233B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3．质量保证期：整套设备免费质保年。质保期计算：自设备验收合格第三日计算；保修期内所有故障及维修费用由乙方承担（人为因素除外）。</w:t>
      </w:r>
    </w:p>
    <w:p w14:paraId="387886B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一个月内出现质量问题可换新货，质保期内出现故障三次且影响正常使用的,应免费为甲方更换同款新设备，质保期相应顺延。</w:t>
      </w:r>
    </w:p>
    <w:p w14:paraId="72DEB6C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 包装与运输</w:t>
      </w:r>
    </w:p>
    <w:p w14:paraId="2670C63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4.1  除合同另有规定外，乙方供应的设备，均应按标准保护措施进行包装，须确保货物完好无损抵达指定现场，由于乙方包装不良及在运输过程中所造成的任何损失，由乙方负责。</w:t>
      </w:r>
    </w:p>
    <w:p w14:paraId="18849F23">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4.2  每一包装箱内应附一份详细的装箱单和质量合格证书。</w:t>
      </w:r>
    </w:p>
    <w:p w14:paraId="0D37C419">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4.3  乙方可选择合适的运输方式，并负责设备的发运、保险、装卸以及货到后未验收前的保管工作。</w:t>
      </w:r>
    </w:p>
    <w:p w14:paraId="47B8172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4.4  交货要求：国产设备生产日期不超过3个月；进口设备生产日期不超过6个月。</w:t>
      </w:r>
    </w:p>
    <w:p w14:paraId="6B3860CB">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第三条　货款结算 </w:t>
      </w:r>
    </w:p>
    <w:p w14:paraId="5A5EA21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双方协商。</w:t>
      </w:r>
    </w:p>
    <w:p w14:paraId="6CCCC7F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第四条  培训、维修及服务</w:t>
      </w:r>
    </w:p>
    <w:p w14:paraId="283B6C16">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1、质保期内：接到甲方电话报故障后，维修响应时间为30分钟内，通过电话不能解决问题的，维修人员到达现场为24小时。</w:t>
      </w:r>
    </w:p>
    <w:p w14:paraId="1BC484F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2、外出培训：现场培训：免费为使用科室及维修人员进行培训，直至熟练操作所有设备及常见故障问题能维修。</w:t>
      </w:r>
    </w:p>
    <w:p w14:paraId="487B08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第五条  违约责任</w:t>
      </w:r>
    </w:p>
    <w:p w14:paraId="19BD80C2">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１.乙方不能交货的，应向甲方偿付合同总价款5％的违约金；</w:t>
      </w:r>
    </w:p>
    <w:p w14:paraId="6FB17B0A">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2．乙方不能按时交货的，每逾期一天，向甲方偿付合同总价款的5</w:t>
      </w:r>
      <w:r>
        <w:rPr>
          <w:rFonts w:ascii="仿宋" w:hAnsi="仿宋" w:eastAsia="仿宋" w:cs="Times New Roman"/>
          <w:color w:val="000000"/>
          <w:sz w:val="28"/>
          <w:szCs w:val="28"/>
        </w:rPr>
        <w:t>‰</w:t>
      </w:r>
      <w:r>
        <w:rPr>
          <w:rFonts w:hint="eastAsia" w:ascii="仿宋" w:hAnsi="仿宋" w:eastAsia="仿宋" w:cs="Times New Roman"/>
          <w:color w:val="000000"/>
          <w:sz w:val="28"/>
          <w:szCs w:val="28"/>
        </w:rPr>
        <w:t>的违约金；不能按照合同约定时间服务的，每延误一小时赔偿甲方违约金1000元整。</w:t>
      </w:r>
    </w:p>
    <w:p w14:paraId="00791DD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24CFDC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4．乙方应保证甲方和使用单位在使用该器械或其任何一部分时不存在任何权利上的瑕疵，免受第三方提出侵犯其专利权、商标权或工业产权等起诉。</w:t>
      </w:r>
    </w:p>
    <w:p w14:paraId="6A68BC8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5.甲方中途无理由退货，应向乙方赔付退货部分货款5％的违约金；</w:t>
      </w:r>
    </w:p>
    <w:p w14:paraId="49F2131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6.甲方逾期付款的，应按中国人民银行同业拆借市场利率的规定向乙方赔付逾期付款的违约金。</w:t>
      </w:r>
    </w:p>
    <w:p w14:paraId="0F82E0E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第六条　瑕疵问题</w:t>
      </w:r>
    </w:p>
    <w:p w14:paraId="6F0788A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如经国家检验机构确认乙方所供货物存在瑕疵或不符合本合同的约定，甲方有权选择下列方式之一要求乙方进行补救:</w:t>
      </w:r>
    </w:p>
    <w:p w14:paraId="7DEF1F7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1.乙方同意甲方退货，并将全额货款于7个日历日内退还甲方，并承担因退货而发生的一切直接损失和费用。</w:t>
      </w:r>
    </w:p>
    <w:p w14:paraId="697F9571">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2.按照货物的疵劣程度、损坏的范围和甲方所遭受的损失，将货物贬值。</w:t>
      </w:r>
    </w:p>
    <w:p w14:paraId="6584D06E">
      <w:pPr>
        <w:spacing w:line="56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3.调换有瑕疵的货物，换货必须全新并符合本合同规定的规格、质量和性能，乙方并负责因此而产生的一切费用和甲方的一切直接损失。</w:t>
      </w:r>
    </w:p>
    <w:p w14:paraId="226963BE">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第七条 不可抗力 </w:t>
      </w:r>
    </w:p>
    <w:p w14:paraId="221C0F3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甲乙双方的任何一方由于不可抗力的原因（如水灾、旱灾、暴风雪、地震战争、罢工、政府禁令等。）不能履行合同时，应及时向对方通报不能履行或不能完全履行的理由，以减轻可能给对方造成的损失。</w:t>
      </w:r>
    </w:p>
    <w:p w14:paraId="00A1CDE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第八条 乙方投标文件为本合同附加条款，与本合同具有同等法律效力。</w:t>
      </w:r>
    </w:p>
    <w:p w14:paraId="1158523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第九条  本合同如发生纠纷，当事人双方应当及时协商解决，协商不成时，任何一方均可请业务主管机关调解或者向仲裁委员会申请仲裁，也可以直接向甲方人民法院起诉。</w:t>
      </w:r>
    </w:p>
    <w:p w14:paraId="054CFE45">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第十条  合同如有未尽事宜，须经双方共同协商，作出补充规定，补充规定与合同具有同等法律效力。</w:t>
      </w:r>
    </w:p>
    <w:p w14:paraId="33A8B95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第十一条 本合同一式份，甲方执份，乙方执份。自双方签字盖章之日起生效。</w:t>
      </w:r>
    </w:p>
    <w:p w14:paraId="0E01B8ED">
      <w:pPr>
        <w:spacing w:line="560" w:lineRule="exact"/>
        <w:ind w:left="7280" w:hanging="7280" w:hangingChars="26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甲 方：    乙 方：</w:t>
      </w:r>
    </w:p>
    <w:p w14:paraId="3B0A222B">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地  址：      地  址：</w:t>
      </w:r>
    </w:p>
    <w:p w14:paraId="4DD2BD1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电  话：            电  话：</w:t>
      </w:r>
    </w:p>
    <w:p w14:paraId="0FE98F6A">
      <w:pPr>
        <w:spacing w:line="560" w:lineRule="exact"/>
        <w:ind w:left="5880" w:hanging="5880" w:hangingChars="21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开户行：                        开户行：</w:t>
      </w:r>
    </w:p>
    <w:p w14:paraId="48D39B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帐  号：                        帐  号：  </w:t>
      </w:r>
    </w:p>
    <w:p w14:paraId="243FD8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委托人签字：                    委托人签字：</w:t>
      </w:r>
    </w:p>
    <w:p w14:paraId="3479BF26">
      <w:pPr>
        <w:spacing w:line="560" w:lineRule="exact"/>
        <w:rPr>
          <w:rFonts w:ascii="仿宋" w:hAnsi="仿宋" w:eastAsia="仿宋" w:cs="Times New Roman"/>
          <w:color w:val="000000"/>
          <w:sz w:val="28"/>
          <w:szCs w:val="28"/>
        </w:rPr>
      </w:pPr>
    </w:p>
    <w:p w14:paraId="623DE24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签订时间：     年   月   日</w:t>
      </w:r>
    </w:p>
    <w:p w14:paraId="0F14868A">
      <w:pPr>
        <w:spacing w:line="560" w:lineRule="exact"/>
        <w:ind w:firstLine="638" w:firstLineChars="228"/>
        <w:rPr>
          <w:rFonts w:ascii="仿宋_GB2312" w:hAnsi="仿宋_GB2312" w:eastAsia="仿宋_GB2312" w:cs="仿宋_GB2312"/>
          <w:sz w:val="28"/>
          <w:szCs w:val="28"/>
        </w:rPr>
      </w:pPr>
    </w:p>
    <w:p w14:paraId="62027FD8">
      <w:pPr>
        <w:spacing w:line="560" w:lineRule="exact"/>
        <w:ind w:firstLine="638" w:firstLineChars="228"/>
        <w:rPr>
          <w:rFonts w:ascii="仿宋_GB2312" w:hAnsi="仿宋_GB2312" w:eastAsia="仿宋_GB2312" w:cs="仿宋_GB2312"/>
          <w:sz w:val="28"/>
          <w:szCs w:val="28"/>
        </w:rPr>
      </w:pPr>
    </w:p>
    <w:p w14:paraId="35571BD0">
      <w:pPr>
        <w:spacing w:line="560" w:lineRule="exact"/>
        <w:ind w:firstLine="638" w:firstLineChars="228"/>
        <w:rPr>
          <w:rFonts w:ascii="仿宋_GB2312" w:hAnsi="仿宋_GB2312" w:eastAsia="仿宋_GB2312" w:cs="仿宋_GB2312"/>
          <w:sz w:val="28"/>
          <w:szCs w:val="28"/>
        </w:rPr>
      </w:pPr>
    </w:p>
    <w:p w14:paraId="3976D923">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408E9221">
      <w:pPr>
        <w:widowControl/>
        <w:shd w:val="clear" w:color="auto" w:fill="FFFFFF"/>
        <w:spacing w:line="360" w:lineRule="auto"/>
        <w:ind w:firstLine="1911" w:firstLineChars="595"/>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第六章  电子化响应文件内容及格式</w:t>
      </w:r>
    </w:p>
    <w:p w14:paraId="2EEAE6D6">
      <w:pPr>
        <w:widowControl/>
        <w:shd w:val="clear" w:color="auto" w:fill="FFFFFF"/>
        <w:spacing w:line="360" w:lineRule="auto"/>
        <w:jc w:val="center"/>
        <w:rPr>
          <w:rFonts w:ascii="宋体" w:hAnsi="宋体" w:eastAsia="宋体" w:cs="Times New Roman"/>
          <w:b/>
          <w:bCs/>
          <w:kern w:val="0"/>
          <w:sz w:val="24"/>
          <w:szCs w:val="24"/>
          <w:shd w:val="clear" w:color="auto" w:fill="FFFFFF"/>
        </w:rPr>
      </w:pPr>
    </w:p>
    <w:p w14:paraId="3BB4ABD7">
      <w:pPr>
        <w:spacing w:line="360" w:lineRule="auto"/>
        <w:jc w:val="center"/>
        <w:rPr>
          <w:rFonts w:ascii="宋体" w:hAnsi="宋体" w:eastAsia="宋体" w:cs="Times New Roman"/>
          <w:sz w:val="44"/>
          <w:szCs w:val="44"/>
        </w:rPr>
      </w:pPr>
    </w:p>
    <w:p w14:paraId="62ED2CC9">
      <w:pPr>
        <w:jc w:val="center"/>
        <w:rPr>
          <w:rFonts w:hint="eastAsia" w:ascii="宋体" w:hAnsi="宋体" w:eastAsia="宋体" w:cs="Times New Roman"/>
          <w:b/>
          <w:bCs/>
          <w:sz w:val="40"/>
          <w:szCs w:val="44"/>
          <w:lang w:val="en-US" w:eastAsia="zh-CN"/>
        </w:rPr>
      </w:pPr>
      <w:r>
        <w:rPr>
          <w:rFonts w:hint="eastAsia" w:ascii="宋体" w:hAnsi="宋体" w:eastAsia="宋体" w:cs="Times New Roman"/>
          <w:b/>
          <w:bCs/>
          <w:sz w:val="40"/>
          <w:szCs w:val="44"/>
        </w:rPr>
        <w:t>项目</w:t>
      </w:r>
      <w:r>
        <w:rPr>
          <w:rFonts w:hint="eastAsia" w:ascii="宋体" w:hAnsi="宋体" w:eastAsia="宋体" w:cs="Times New Roman"/>
          <w:b/>
          <w:bCs/>
          <w:sz w:val="40"/>
          <w:szCs w:val="44"/>
          <w:lang w:val="en-US" w:eastAsia="zh-CN"/>
        </w:rPr>
        <w:t>名称</w:t>
      </w:r>
    </w:p>
    <w:p w14:paraId="7FD6BAE3">
      <w:pPr>
        <w:spacing w:line="480" w:lineRule="atLeast"/>
        <w:ind w:firstLine="567"/>
        <w:textAlignment w:val="baseline"/>
        <w:rPr>
          <w:rFonts w:ascii="宋体" w:hAnsi="宋体" w:eastAsia="宋体" w:cs="宋体"/>
          <w:sz w:val="28"/>
          <w:szCs w:val="28"/>
        </w:rPr>
      </w:pPr>
    </w:p>
    <w:p w14:paraId="0C2D71E4">
      <w:pPr>
        <w:spacing w:line="480" w:lineRule="atLeast"/>
        <w:ind w:firstLine="567"/>
        <w:textAlignment w:val="baseline"/>
        <w:rPr>
          <w:rFonts w:ascii="宋体" w:hAnsi="宋体" w:eastAsia="宋体" w:cs="宋体"/>
          <w:sz w:val="28"/>
          <w:szCs w:val="28"/>
        </w:rPr>
      </w:pPr>
    </w:p>
    <w:p w14:paraId="7074FB62">
      <w:pPr>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竞争性磋商响应文件</w:t>
      </w:r>
    </w:p>
    <w:p w14:paraId="5D35A449">
      <w:pPr>
        <w:widowControl/>
        <w:spacing w:line="360" w:lineRule="auto"/>
        <w:rPr>
          <w:rFonts w:ascii="宋体" w:hAnsi="宋体" w:eastAsia="宋体" w:cs="Times New Roman"/>
          <w:b/>
          <w:bCs/>
          <w:kern w:val="0"/>
          <w:sz w:val="30"/>
          <w:szCs w:val="30"/>
        </w:rPr>
      </w:pPr>
    </w:p>
    <w:p w14:paraId="40030627">
      <w:pPr>
        <w:jc w:val="center"/>
        <w:rPr>
          <w:rFonts w:ascii="宋体" w:hAnsi="宋体" w:eastAsia="宋体" w:cs="Times New Roman"/>
          <w:b/>
          <w:bCs/>
          <w:sz w:val="30"/>
          <w:szCs w:val="30"/>
        </w:rPr>
      </w:pPr>
      <w:r>
        <w:rPr>
          <w:rFonts w:hint="eastAsia" w:ascii="宋体" w:hAnsi="宋体" w:eastAsia="宋体" w:cs="Times New Roman"/>
          <w:b/>
          <w:bCs/>
          <w:kern w:val="0"/>
          <w:sz w:val="32"/>
          <w:szCs w:val="32"/>
        </w:rPr>
        <w:t>项目编号：</w:t>
      </w:r>
    </w:p>
    <w:p w14:paraId="24DED12F">
      <w:pPr>
        <w:widowControl/>
        <w:spacing w:line="360" w:lineRule="auto"/>
        <w:jc w:val="center"/>
        <w:rPr>
          <w:rFonts w:ascii="宋体" w:hAnsi="宋体" w:eastAsia="宋体" w:cs="Times New Roman"/>
          <w:b/>
          <w:bCs/>
          <w:sz w:val="28"/>
          <w:szCs w:val="28"/>
        </w:rPr>
      </w:pPr>
    </w:p>
    <w:p w14:paraId="2C8C9375">
      <w:pPr>
        <w:spacing w:line="480" w:lineRule="atLeast"/>
        <w:ind w:firstLine="567"/>
        <w:textAlignment w:val="baseline"/>
        <w:rPr>
          <w:rFonts w:ascii="宋体" w:hAnsi="宋体" w:eastAsia="宋体" w:cs="宋体"/>
          <w:sz w:val="28"/>
          <w:szCs w:val="28"/>
        </w:rPr>
      </w:pPr>
      <w:r>
        <w:rPr>
          <w:rFonts w:ascii="宋体" w:hAnsi="宋体" w:eastAsia="宋体" w:cs="宋体"/>
          <w:sz w:val="28"/>
          <w:szCs w:val="28"/>
        </w:rPr>
        <w:tab/>
      </w:r>
      <w:r>
        <w:rPr>
          <w:rFonts w:ascii="宋体" w:hAnsi="宋体" w:eastAsia="宋体" w:cs="宋体"/>
          <w:sz w:val="28"/>
          <w:szCs w:val="28"/>
        </w:rPr>
        <w:tab/>
      </w:r>
    </w:p>
    <w:p w14:paraId="1F920AC6">
      <w:pPr>
        <w:spacing w:line="360" w:lineRule="auto"/>
        <w:jc w:val="center"/>
        <w:rPr>
          <w:rFonts w:ascii="宋体" w:hAnsi="宋体" w:eastAsia="宋体" w:cs="Times New Roman"/>
          <w:sz w:val="32"/>
          <w:szCs w:val="32"/>
        </w:rPr>
      </w:pPr>
    </w:p>
    <w:p w14:paraId="3A4CC1A7">
      <w:pPr>
        <w:spacing w:after="120" w:line="360" w:lineRule="auto"/>
        <w:rPr>
          <w:rFonts w:ascii="宋体" w:hAnsi="宋体" w:eastAsia="宋体" w:cs="Times New Roman"/>
          <w:kern w:val="0"/>
          <w:sz w:val="28"/>
          <w:szCs w:val="28"/>
        </w:rPr>
      </w:pPr>
    </w:p>
    <w:p w14:paraId="3EA87F5D">
      <w:pPr>
        <w:spacing w:before="100" w:beforeAutospacing="1" w:after="120" w:line="360" w:lineRule="auto"/>
        <w:ind w:left="420" w:firstLine="420"/>
        <w:rPr>
          <w:rFonts w:ascii="宋体" w:hAnsi="宋体" w:eastAsia="宋体" w:cs="Times New Roman"/>
          <w:kern w:val="0"/>
          <w:sz w:val="20"/>
          <w:szCs w:val="21"/>
        </w:rPr>
      </w:pPr>
    </w:p>
    <w:p w14:paraId="55F3834F">
      <w:pPr>
        <w:spacing w:before="100" w:beforeAutospacing="1" w:after="120" w:line="360" w:lineRule="auto"/>
        <w:ind w:left="420" w:firstLine="420"/>
        <w:rPr>
          <w:rFonts w:ascii="宋体" w:hAnsi="宋体" w:eastAsia="宋体" w:cs="Times New Roman"/>
          <w:kern w:val="0"/>
          <w:sz w:val="20"/>
          <w:szCs w:val="21"/>
        </w:rPr>
      </w:pPr>
    </w:p>
    <w:p w14:paraId="115D95E8">
      <w:pPr>
        <w:spacing w:line="360" w:lineRule="auto"/>
        <w:rPr>
          <w:rFonts w:ascii="宋体" w:hAnsi="宋体" w:eastAsia="宋体" w:cs="Times New Roman"/>
          <w:kern w:val="0"/>
          <w:sz w:val="18"/>
          <w:szCs w:val="18"/>
          <w:shd w:val="clear" w:color="auto" w:fill="FFFFFF"/>
        </w:rPr>
      </w:pPr>
    </w:p>
    <w:p w14:paraId="329DA293">
      <w:pPr>
        <w:spacing w:line="360" w:lineRule="auto"/>
        <w:ind w:firstLine="420"/>
        <w:rPr>
          <w:rFonts w:ascii="宋体" w:hAnsi="宋体" w:eastAsia="宋体" w:cs="宋体"/>
          <w:b/>
          <w:kern w:val="1"/>
          <w:sz w:val="24"/>
          <w:szCs w:val="21"/>
        </w:rPr>
      </w:pPr>
    </w:p>
    <w:p w14:paraId="5B61DF13">
      <w:pPr>
        <w:widowControl/>
        <w:shd w:val="clear" w:color="auto" w:fill="FFFFFF"/>
        <w:spacing w:line="360" w:lineRule="auto"/>
        <w:ind w:firstLine="1701" w:firstLineChars="605"/>
        <w:jc w:val="left"/>
        <w:rPr>
          <w:rFonts w:ascii="宋体" w:hAnsi="宋体" w:eastAsia="宋体" w:cs="Times New Roman"/>
          <w:kern w:val="0"/>
          <w:sz w:val="28"/>
          <w:szCs w:val="28"/>
          <w:shd w:val="clear" w:color="auto" w:fill="FFFFFF"/>
        </w:rPr>
      </w:pPr>
      <w:r>
        <w:rPr>
          <w:rFonts w:hint="eastAsia" w:ascii="宋体" w:hAnsi="宋体" w:eastAsia="宋体" w:cs="Times New Roman"/>
          <w:b/>
          <w:bCs/>
          <w:kern w:val="0"/>
          <w:sz w:val="28"/>
          <w:szCs w:val="28"/>
          <w:shd w:val="clear" w:color="auto" w:fill="FFFFFF"/>
        </w:rPr>
        <w:t>磋商响应供应商名称：（盖单位公章）</w:t>
      </w:r>
    </w:p>
    <w:p w14:paraId="1ABDC4E5">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法定代表人：（签字或盖章）</w:t>
      </w:r>
    </w:p>
    <w:p w14:paraId="59D8FF3E">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日      期：</w:t>
      </w:r>
      <w:bookmarkStart w:id="6" w:name="_Toc223432389"/>
      <w:bookmarkEnd w:id="6"/>
      <w:bookmarkStart w:id="7" w:name="_Toc169921409"/>
      <w:bookmarkEnd w:id="7"/>
      <w:bookmarkStart w:id="8" w:name="_Toc171073209"/>
      <w:bookmarkEnd w:id="8"/>
      <w:bookmarkStart w:id="9" w:name="_Toc171073044"/>
      <w:bookmarkEnd w:id="9"/>
    </w:p>
    <w:p w14:paraId="7CF359B0">
      <w:pPr>
        <w:spacing w:line="480" w:lineRule="atLeast"/>
        <w:ind w:firstLine="567"/>
        <w:textAlignment w:val="baseline"/>
        <w:rPr>
          <w:rFonts w:ascii="宋体" w:hAnsi="宋体" w:eastAsia="宋体" w:cs="宋体"/>
          <w:sz w:val="28"/>
          <w:szCs w:val="28"/>
        </w:rPr>
      </w:pPr>
    </w:p>
    <w:p w14:paraId="7742BED5">
      <w:pPr>
        <w:widowControl/>
        <w:spacing w:line="360" w:lineRule="auto"/>
        <w:ind w:firstLine="480"/>
        <w:jc w:val="center"/>
        <w:rPr>
          <w:rFonts w:hint="eastAsia" w:ascii="宋体" w:hAnsi="宋体" w:eastAsia="宋体" w:cs="Times New Roman"/>
          <w:kern w:val="0"/>
          <w:sz w:val="48"/>
          <w:szCs w:val="48"/>
        </w:rPr>
      </w:pPr>
    </w:p>
    <w:p w14:paraId="34C6BFBC">
      <w:pPr>
        <w:widowControl/>
        <w:spacing w:line="360" w:lineRule="auto"/>
        <w:ind w:firstLine="480"/>
        <w:jc w:val="center"/>
        <w:rPr>
          <w:rFonts w:ascii="宋体" w:hAnsi="宋体" w:eastAsia="宋体" w:cs="Times New Roman"/>
          <w:kern w:val="0"/>
          <w:sz w:val="48"/>
          <w:szCs w:val="48"/>
        </w:rPr>
      </w:pPr>
      <w:r>
        <w:rPr>
          <w:rFonts w:hint="eastAsia" w:ascii="宋体" w:hAnsi="宋体" w:eastAsia="宋体" w:cs="Times New Roman"/>
          <w:kern w:val="0"/>
          <w:sz w:val="48"/>
          <w:szCs w:val="48"/>
        </w:rPr>
        <w:t>目录</w:t>
      </w:r>
    </w:p>
    <w:p w14:paraId="3AA2F4C0">
      <w:pPr>
        <w:widowControl/>
        <w:spacing w:line="360" w:lineRule="auto"/>
        <w:jc w:val="left"/>
        <w:rPr>
          <w:rFonts w:ascii="宋体" w:hAnsi="宋体" w:eastAsia="宋体" w:cs="Times New Roman"/>
          <w:kern w:val="0"/>
          <w:sz w:val="24"/>
          <w:szCs w:val="24"/>
        </w:rPr>
      </w:pPr>
    </w:p>
    <w:p w14:paraId="32E3E1DF">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一、综合标</w:t>
      </w:r>
    </w:p>
    <w:p w14:paraId="1956CE9D">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、法定代表人身份证明书</w:t>
      </w:r>
    </w:p>
    <w:p w14:paraId="0DD3877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、磋商响应函</w:t>
      </w:r>
    </w:p>
    <w:p w14:paraId="35242CA9">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、首次报价一览表</w:t>
      </w:r>
    </w:p>
    <w:p w14:paraId="24BAB948">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4、资格审查资料</w:t>
      </w:r>
    </w:p>
    <w:p w14:paraId="31BBFB0A">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5、中小企业声明函</w:t>
      </w:r>
    </w:p>
    <w:p w14:paraId="7B99B0C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6、残疾人福利性单位声明函</w:t>
      </w:r>
    </w:p>
    <w:p w14:paraId="581113F4">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、监狱企业证明文件</w:t>
      </w:r>
    </w:p>
    <w:p w14:paraId="39A31BE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、人员培训及售后服务承诺</w:t>
      </w:r>
    </w:p>
    <w:p w14:paraId="061ABC97">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二、技术标</w:t>
      </w:r>
    </w:p>
    <w:p w14:paraId="2753D4F7">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、磋商设备合格文件</w:t>
      </w:r>
    </w:p>
    <w:p w14:paraId="545902B3">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、磋商报价表：</w:t>
      </w:r>
    </w:p>
    <w:p w14:paraId="01D2A419">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1）磋商报价明细表；</w:t>
      </w:r>
    </w:p>
    <w:p w14:paraId="197F6AA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2）技术参数偏离表；</w:t>
      </w:r>
    </w:p>
    <w:p w14:paraId="718CA2BB">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3）商务响应表；</w:t>
      </w:r>
    </w:p>
    <w:p w14:paraId="6B458A0F">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、磋商响应供应商可提交的其他磋商资料</w:t>
      </w:r>
    </w:p>
    <w:p w14:paraId="11F57ACE">
      <w:pPr>
        <w:spacing w:line="360" w:lineRule="auto"/>
        <w:jc w:val="center"/>
        <w:rPr>
          <w:rFonts w:ascii="宋体" w:hAnsi="宋体" w:eastAsia="宋体" w:cs="Times New Roman"/>
          <w:sz w:val="24"/>
          <w:szCs w:val="24"/>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rPr>
        <w:t>、法定代表人身份证明书</w:t>
      </w:r>
    </w:p>
    <w:p w14:paraId="0D9AB727">
      <w:pPr>
        <w:spacing w:line="440" w:lineRule="exact"/>
        <w:rPr>
          <w:rFonts w:ascii="宋体" w:hAnsi="宋体" w:eastAsia="宋体" w:cs="Times New Roman"/>
          <w:b/>
          <w:bCs/>
          <w:szCs w:val="21"/>
        </w:rPr>
      </w:pPr>
    </w:p>
    <w:p w14:paraId="16417393">
      <w:pPr>
        <w:spacing w:line="480" w:lineRule="auto"/>
        <w:ind w:firstLine="612"/>
        <w:rPr>
          <w:rFonts w:ascii="宋体" w:hAnsi="宋体" w:eastAsia="宋体" w:cs="Times New Roman"/>
          <w:sz w:val="24"/>
          <w:szCs w:val="24"/>
        </w:rPr>
      </w:pPr>
      <w:r>
        <w:rPr>
          <w:rFonts w:hint="eastAsia" w:ascii="宋体" w:hAnsi="宋体" w:eastAsia="宋体" w:cs="Times New Roman"/>
          <w:sz w:val="24"/>
          <w:szCs w:val="24"/>
        </w:rPr>
        <w:t>单位名称：</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7D125FA7">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单位性质：</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B905436">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地址：</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9BA54CC">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成立时间：     年    月    日</w:t>
      </w:r>
    </w:p>
    <w:p w14:paraId="4CAB90F5">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经营期限：</w:t>
      </w:r>
      <w:r>
        <w:rPr>
          <w:rFonts w:ascii="宋体" w:hAnsi="宋体" w:eastAsia="宋体" w:cs="Times New Roman"/>
          <w:sz w:val="24"/>
          <w:szCs w:val="24"/>
          <w:u w:val="single"/>
        </w:rPr>
        <w:tab/>
      </w:r>
      <w:r>
        <w:rPr>
          <w:rFonts w:ascii="宋体" w:hAnsi="宋体" w:eastAsia="宋体" w:cs="Times New Roman"/>
          <w:sz w:val="24"/>
          <w:szCs w:val="24"/>
          <w:u w:val="single"/>
        </w:rPr>
        <w:tab/>
      </w:r>
    </w:p>
    <w:p w14:paraId="69D00AD3">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姓名：</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性别：</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年龄：</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职务：</w:t>
      </w:r>
      <w:r>
        <w:rPr>
          <w:rFonts w:ascii="宋体" w:hAnsi="宋体" w:eastAsia="宋体" w:cs="Times New Roman"/>
          <w:sz w:val="24"/>
          <w:szCs w:val="24"/>
          <w:u w:val="single"/>
        </w:rPr>
        <w:tab/>
      </w:r>
      <w:r>
        <w:rPr>
          <w:rFonts w:ascii="宋体" w:hAnsi="宋体" w:eastAsia="宋体" w:cs="Times New Roman"/>
          <w:sz w:val="24"/>
          <w:szCs w:val="24"/>
          <w:u w:val="single"/>
        </w:rPr>
        <w:tab/>
      </w:r>
    </w:p>
    <w:p w14:paraId="2E2C5321">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（磋商响应供应商单位名称）</w:t>
      </w:r>
      <w:r>
        <w:rPr>
          <w:rFonts w:hint="eastAsia" w:ascii="宋体" w:hAnsi="宋体" w:eastAsia="宋体" w:cs="Times New Roman"/>
          <w:sz w:val="24"/>
          <w:szCs w:val="24"/>
        </w:rPr>
        <w:t>的法定代表人。</w:t>
      </w:r>
    </w:p>
    <w:p w14:paraId="572F43FD">
      <w:pPr>
        <w:spacing w:line="480" w:lineRule="auto"/>
        <w:ind w:firstLine="610"/>
        <w:rPr>
          <w:rFonts w:ascii="宋体" w:hAnsi="宋体" w:eastAsia="宋体" w:cs="Times New Roman"/>
          <w:sz w:val="24"/>
          <w:szCs w:val="24"/>
        </w:rPr>
      </w:pPr>
    </w:p>
    <w:p w14:paraId="58383338">
      <w:pPr>
        <w:spacing w:line="480" w:lineRule="auto"/>
        <w:ind w:firstLine="1089" w:firstLineChars="454"/>
        <w:rPr>
          <w:rFonts w:ascii="宋体" w:hAnsi="宋体" w:eastAsia="宋体" w:cs="Times New Roman"/>
          <w:sz w:val="24"/>
          <w:szCs w:val="24"/>
        </w:rPr>
      </w:pPr>
      <w:r>
        <w:rPr>
          <w:rFonts w:hint="eastAsia" w:ascii="宋体" w:hAnsi="宋体" w:eastAsia="宋体" w:cs="Times New Roman"/>
          <w:sz w:val="24"/>
          <w:szCs w:val="24"/>
        </w:rPr>
        <w:t>特此证明。</w:t>
      </w:r>
    </w:p>
    <w:p w14:paraId="4F2494D8">
      <w:pPr>
        <w:spacing w:line="480" w:lineRule="auto"/>
        <w:ind w:firstLine="5040" w:firstLineChars="2100"/>
        <w:rPr>
          <w:rFonts w:ascii="宋体" w:hAnsi="宋体" w:eastAsia="宋体" w:cs="Times New Roman"/>
          <w:sz w:val="24"/>
          <w:szCs w:val="24"/>
        </w:rPr>
      </w:pPr>
    </w:p>
    <w:p w14:paraId="18B6C972">
      <w:pPr>
        <w:spacing w:line="480" w:lineRule="auto"/>
        <w:ind w:firstLine="5040" w:firstLineChars="2100"/>
        <w:rPr>
          <w:rFonts w:ascii="宋体" w:hAnsi="宋体" w:eastAsia="宋体" w:cs="Times New Roman"/>
          <w:sz w:val="24"/>
          <w:szCs w:val="24"/>
        </w:rPr>
      </w:pPr>
    </w:p>
    <w:p w14:paraId="739D1588">
      <w:pPr>
        <w:spacing w:line="480" w:lineRule="auto"/>
        <w:ind w:firstLine="5040" w:firstLineChars="2100"/>
        <w:rPr>
          <w:rFonts w:ascii="宋体" w:hAnsi="宋体" w:eastAsia="宋体" w:cs="Times New Roman"/>
          <w:sz w:val="24"/>
          <w:szCs w:val="24"/>
        </w:rPr>
      </w:pPr>
    </w:p>
    <w:p w14:paraId="3E37DCA5">
      <w:pPr>
        <w:spacing w:line="36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7C4428A9">
      <w:pPr>
        <w:spacing w:line="360" w:lineRule="auto"/>
        <w:ind w:firstLine="3967" w:firstLineChars="1653"/>
        <w:jc w:val="left"/>
        <w:rPr>
          <w:rFonts w:ascii="宋体" w:hAnsi="宋体" w:eastAsia="宋体" w:cs="Times New Roman"/>
          <w:sz w:val="24"/>
          <w:szCs w:val="24"/>
        </w:rPr>
      </w:pPr>
    </w:p>
    <w:p w14:paraId="71FEC756">
      <w:pPr>
        <w:spacing w:line="36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342B21C1">
      <w:pPr>
        <w:spacing w:line="480" w:lineRule="auto"/>
        <w:ind w:right="480"/>
        <w:jc w:val="center"/>
        <w:rPr>
          <w:rFonts w:ascii="宋体" w:hAnsi="宋体" w:eastAsia="宋体" w:cs="Times New Roman"/>
          <w:b/>
          <w:bCs/>
          <w:sz w:val="24"/>
          <w:szCs w:val="24"/>
        </w:rPr>
      </w:pPr>
    </w:p>
    <w:p w14:paraId="24C4735B">
      <w:pPr>
        <w:spacing w:line="480" w:lineRule="auto"/>
        <w:ind w:right="480"/>
        <w:jc w:val="center"/>
        <w:rPr>
          <w:rFonts w:ascii="宋体" w:hAnsi="宋体" w:eastAsia="宋体" w:cs="Times New Roman"/>
          <w:b/>
          <w:bCs/>
          <w:sz w:val="24"/>
          <w:szCs w:val="24"/>
        </w:rPr>
      </w:pPr>
      <w:r>
        <w:rPr>
          <w:rFonts w:hint="eastAsia" w:ascii="宋体" w:hAnsi="宋体" w:eastAsia="宋体" w:cs="Times New Roman"/>
          <w:b/>
          <w:bCs/>
          <w:sz w:val="24"/>
          <w:szCs w:val="24"/>
        </w:rPr>
        <w:t>（后附法定代表人身份证正反面扫描件）</w:t>
      </w:r>
    </w:p>
    <w:p w14:paraId="2F09D284">
      <w:pPr>
        <w:jc w:val="center"/>
        <w:rPr>
          <w:rFonts w:ascii="宋体" w:hAnsi="宋体" w:eastAsia="宋体" w:cs="Times New Roman"/>
          <w:b/>
          <w:bCs/>
          <w:sz w:val="32"/>
          <w:szCs w:val="32"/>
        </w:rPr>
      </w:pPr>
      <w:bookmarkStart w:id="10" w:name="_Toc171073211"/>
      <w:bookmarkEnd w:id="10"/>
      <w:bookmarkStart w:id="11" w:name="_Toc171073046"/>
      <w:bookmarkEnd w:id="11"/>
      <w:bookmarkStart w:id="12" w:name="_Toc169921411"/>
      <w:bookmarkEnd w:id="12"/>
      <w:bookmarkStart w:id="13" w:name="_Toc223432391"/>
      <w:bookmarkEnd w:id="13"/>
      <w:r>
        <w:rPr>
          <w:rFonts w:ascii="宋体" w:hAnsi="宋体" w:eastAsia="宋体" w:cs="Times New Roman"/>
          <w:b/>
          <w:bCs/>
          <w:sz w:val="32"/>
          <w:szCs w:val="32"/>
        </w:rPr>
        <w:br w:type="page"/>
      </w:r>
      <w:r>
        <w:rPr>
          <w:rFonts w:ascii="宋体" w:hAnsi="宋体" w:eastAsia="宋体" w:cs="Times New Roman"/>
          <w:b/>
          <w:bCs/>
          <w:sz w:val="32"/>
          <w:szCs w:val="32"/>
        </w:rPr>
        <w:t>2</w:t>
      </w:r>
      <w:r>
        <w:rPr>
          <w:rFonts w:hint="eastAsia" w:ascii="宋体" w:hAnsi="宋体" w:eastAsia="宋体" w:cs="Times New Roman"/>
          <w:b/>
          <w:bCs/>
          <w:sz w:val="32"/>
          <w:szCs w:val="32"/>
        </w:rPr>
        <w:t>、磋商响应函</w:t>
      </w:r>
    </w:p>
    <w:p w14:paraId="0DF0C318">
      <w:pPr>
        <w:spacing w:line="360" w:lineRule="auto"/>
        <w:jc w:val="left"/>
        <w:rPr>
          <w:rFonts w:ascii="宋体" w:hAnsi="宋体" w:eastAsia="宋体" w:cs="Times New Roman"/>
          <w:spacing w:val="24"/>
          <w:sz w:val="24"/>
          <w:szCs w:val="24"/>
        </w:rPr>
      </w:pPr>
      <w:r>
        <w:rPr>
          <w:rFonts w:hint="eastAsia" w:ascii="宋体" w:hAnsi="宋体" w:eastAsia="宋体" w:cs="Times New Roman"/>
          <w:spacing w:val="24"/>
          <w:sz w:val="24"/>
          <w:szCs w:val="24"/>
        </w:rPr>
        <w:t>致</w:t>
      </w:r>
      <w:r>
        <w:rPr>
          <w:rFonts w:hint="eastAsia" w:ascii="宋体" w:hAnsi="宋体" w:eastAsia="宋体" w:cs="Times New Roman"/>
          <w:spacing w:val="24"/>
          <w:sz w:val="24"/>
          <w:szCs w:val="24"/>
          <w:u w:val="single"/>
        </w:rPr>
        <w:t>（采购人）</w:t>
      </w:r>
      <w:r>
        <w:rPr>
          <w:rFonts w:hint="eastAsia" w:ascii="宋体" w:hAnsi="宋体" w:eastAsia="宋体" w:cs="Times New Roman"/>
          <w:spacing w:val="24"/>
          <w:sz w:val="24"/>
          <w:szCs w:val="24"/>
        </w:rPr>
        <w:t>：</w:t>
      </w:r>
    </w:p>
    <w:p w14:paraId="2715A30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根据已收到贵方的（项目名称）（项目编号）的竞争性磋商文件，遵照《中华人民共和国政府采购法》等有关规定，我单位经研究上述竞争性磋商文件的磋商须知、合同条款、</w:t>
      </w:r>
      <w:r>
        <w:rPr>
          <w:rFonts w:hint="eastAsia" w:ascii="宋体" w:hAnsi="宋体" w:eastAsia="宋体" w:cs="Times New Roman"/>
          <w:sz w:val="24"/>
          <w:szCs w:val="21"/>
        </w:rPr>
        <w:t>技术参数</w:t>
      </w:r>
      <w:r>
        <w:rPr>
          <w:rFonts w:hint="eastAsia" w:ascii="宋体" w:hAnsi="宋体" w:eastAsia="宋体" w:cs="Times New Roman"/>
          <w:sz w:val="24"/>
          <w:szCs w:val="24"/>
        </w:rPr>
        <w:t>及其它有关文件后，我方愿以人民币（大写）：（小写：元）的磋商报价，交货期：,</w:t>
      </w:r>
      <w:r>
        <w:rPr>
          <w:rFonts w:hint="eastAsia" w:ascii="宋体" w:hAnsi="宋体" w:eastAsia="宋体" w:cs="Times New Roman"/>
          <w:sz w:val="24"/>
          <w:szCs w:val="24"/>
          <w:lang w:val="en-US" w:eastAsia="zh-CN"/>
        </w:rPr>
        <w:t>服务期限：，</w:t>
      </w:r>
      <w:r>
        <w:rPr>
          <w:rFonts w:hint="eastAsia" w:ascii="宋体" w:hAnsi="宋体" w:eastAsia="宋体" w:cs="Times New Roman"/>
          <w:sz w:val="24"/>
          <w:szCs w:val="24"/>
        </w:rPr>
        <w:t>质保期：，</w:t>
      </w:r>
      <w:r>
        <w:rPr>
          <w:rFonts w:hint="eastAsia" w:ascii="宋体" w:hAnsi="宋体" w:eastAsia="宋体" w:cs="Times New Roman"/>
          <w:sz w:val="24"/>
          <w:szCs w:val="21"/>
        </w:rPr>
        <w:t>承包上述项目的</w:t>
      </w:r>
      <w:r>
        <w:rPr>
          <w:rFonts w:hint="eastAsia" w:ascii="宋体" w:hAnsi="宋体" w:eastAsia="宋体" w:cs="宋体"/>
          <w:sz w:val="24"/>
          <w:szCs w:val="21"/>
        </w:rPr>
        <w:t>采购及安装</w:t>
      </w:r>
      <w:r>
        <w:rPr>
          <w:rFonts w:ascii="宋体" w:hAnsi="宋体" w:eastAsia="宋体" w:cs="宋体"/>
          <w:sz w:val="24"/>
          <w:szCs w:val="21"/>
        </w:rPr>
        <w:t>、</w:t>
      </w:r>
      <w:r>
        <w:rPr>
          <w:rFonts w:hint="eastAsia" w:ascii="宋体" w:hAnsi="宋体" w:eastAsia="宋体" w:cs="Times New Roman"/>
          <w:sz w:val="24"/>
          <w:szCs w:val="21"/>
        </w:rPr>
        <w:t>调试、</w:t>
      </w:r>
      <w:r>
        <w:rPr>
          <w:rFonts w:hint="eastAsia" w:ascii="宋体" w:hAnsi="宋体" w:eastAsia="宋体" w:cs="宋体"/>
          <w:sz w:val="24"/>
          <w:szCs w:val="21"/>
        </w:rPr>
        <w:t>验收、质保期服务，与货物有关的运输和保险及其他伴随服务</w:t>
      </w:r>
      <w:r>
        <w:rPr>
          <w:rFonts w:hint="eastAsia" w:ascii="宋体" w:hAnsi="宋体" w:eastAsia="宋体" w:cs="Arial"/>
          <w:sz w:val="24"/>
          <w:szCs w:val="21"/>
          <w:shd w:val="clear" w:color="auto" w:fill="FFFFFF"/>
        </w:rPr>
        <w:t>。</w:t>
      </w:r>
    </w:p>
    <w:p w14:paraId="14D1C2D1">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482F72B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3F6626BF">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、我方愿在成交后按照竞争性磋商文件规定的时间和金额向采购人交纳履约保证金。</w:t>
      </w:r>
    </w:p>
    <w:p w14:paraId="63BD686F">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kern w:val="0"/>
          <w:sz w:val="24"/>
          <w:szCs w:val="24"/>
        </w:rPr>
        <w:t>我方同意自本项目</w:t>
      </w:r>
      <w:r>
        <w:rPr>
          <w:rFonts w:hint="eastAsia" w:ascii="宋体" w:hAnsi="宋体" w:eastAsia="宋体" w:cs="Times New Roman"/>
          <w:sz w:val="24"/>
          <w:szCs w:val="24"/>
        </w:rPr>
        <w:t>竞争性磋商</w:t>
      </w:r>
      <w:r>
        <w:rPr>
          <w:rFonts w:hint="eastAsia" w:ascii="宋体" w:hAnsi="宋体" w:eastAsia="宋体" w:cs="Times New Roman"/>
          <w:kern w:val="0"/>
          <w:sz w:val="24"/>
          <w:szCs w:val="24"/>
        </w:rPr>
        <w:t>文件中规定的磋商有效期内有效，并承诺在磋商有效期内不修改、撤回磋商响应文件。</w:t>
      </w:r>
    </w:p>
    <w:p w14:paraId="23AC6A71">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宋体" w:hAnsi="宋体" w:eastAsia="宋体" w:cs="Times New Roman"/>
          <w:kern w:val="0"/>
          <w:sz w:val="24"/>
          <w:szCs w:val="24"/>
        </w:rPr>
        <w:t>我方完全理解贵方不一定接受磋商报价最低的供应商为成交供应商的行为。</w:t>
      </w:r>
    </w:p>
    <w:p w14:paraId="1F6806E7">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宋体" w:hAnsi="宋体" w:eastAsia="宋体" w:cs="Times New Roman"/>
          <w:kern w:val="0"/>
          <w:sz w:val="24"/>
          <w:szCs w:val="24"/>
        </w:rPr>
        <w:t>我方在此声明，所递交的磋商响应文件及有关资料内容完整、真实和准确。</w:t>
      </w:r>
    </w:p>
    <w:p w14:paraId="1FA7AB4A">
      <w:pPr>
        <w:spacing w:line="360" w:lineRule="auto"/>
        <w:ind w:firstLine="240" w:firstLineChars="100"/>
        <w:jc w:val="left"/>
        <w:rPr>
          <w:rFonts w:ascii="宋体" w:hAnsi="宋体" w:eastAsia="宋体" w:cs="Times New Roman"/>
          <w:sz w:val="24"/>
          <w:szCs w:val="24"/>
        </w:rPr>
      </w:pPr>
    </w:p>
    <w:p w14:paraId="73966401">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65910516">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6372F75">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17C6AE2D">
      <w:pPr>
        <w:jc w:val="center"/>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ascii="宋体" w:hAnsi="宋体" w:eastAsia="宋体" w:cs="Times New Roman"/>
          <w:b/>
          <w:bCs/>
          <w:kern w:val="0"/>
          <w:sz w:val="32"/>
          <w:szCs w:val="32"/>
        </w:rPr>
        <w:t>3</w:t>
      </w:r>
      <w:r>
        <w:rPr>
          <w:rFonts w:hint="eastAsia" w:ascii="宋体" w:hAnsi="宋体" w:eastAsia="宋体" w:cs="Times New Roman"/>
          <w:b/>
          <w:bCs/>
          <w:kern w:val="0"/>
          <w:sz w:val="32"/>
          <w:szCs w:val="32"/>
        </w:rPr>
        <w:t>、首次报价一览表</w:t>
      </w:r>
    </w:p>
    <w:p w14:paraId="76C0259F">
      <w:pPr>
        <w:tabs>
          <w:tab w:val="left" w:pos="5078"/>
        </w:tabs>
        <w:spacing w:line="500" w:lineRule="exact"/>
        <w:jc w:val="left"/>
        <w:rPr>
          <w:rFonts w:ascii="宋体" w:hAnsi="宋体" w:eastAsia="宋体" w:cs="Times New Roman"/>
          <w:b/>
          <w:bCs/>
          <w:kern w:val="0"/>
          <w:sz w:val="32"/>
          <w:szCs w:val="32"/>
        </w:rPr>
      </w:pPr>
      <w:r>
        <w:rPr>
          <w:rFonts w:ascii="宋体" w:hAnsi="宋体" w:eastAsia="宋体" w:cs="Times New Roman"/>
          <w:b/>
          <w:bCs/>
          <w:kern w:val="0"/>
          <w:sz w:val="32"/>
          <w:szCs w:val="32"/>
        </w:rPr>
        <w:tab/>
      </w:r>
    </w:p>
    <w:tbl>
      <w:tblPr>
        <w:tblStyle w:val="20"/>
        <w:tblW w:w="0" w:type="auto"/>
        <w:jc w:val="center"/>
        <w:tblLayout w:type="fixed"/>
        <w:tblCellMar>
          <w:top w:w="0" w:type="dxa"/>
          <w:left w:w="0" w:type="dxa"/>
          <w:bottom w:w="0" w:type="dxa"/>
          <w:right w:w="0" w:type="dxa"/>
        </w:tblCellMar>
      </w:tblPr>
      <w:tblGrid>
        <w:gridCol w:w="2265"/>
        <w:gridCol w:w="6600"/>
      </w:tblGrid>
      <w:tr w14:paraId="457F8A6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A6AA209">
            <w:pPr>
              <w:autoSpaceDE w:val="0"/>
              <w:autoSpaceDN w:val="0"/>
              <w:spacing w:line="500" w:lineRule="exact"/>
              <w:jc w:val="center"/>
              <w:rPr>
                <w:rFonts w:ascii="宋体" w:hAnsi="宋体" w:eastAsia="宋体" w:cs="Times New Roman"/>
                <w:kern w:val="0"/>
                <w:sz w:val="24"/>
                <w:szCs w:val="24"/>
              </w:rPr>
            </w:pPr>
            <w:bookmarkStart w:id="14" w:name="_Toc365647229"/>
            <w:r>
              <w:rPr>
                <w:rFonts w:hint="eastAsia" w:ascii="宋体" w:hAnsi="宋体" w:eastAsia="宋体" w:cs="Times New Roman"/>
                <w:kern w:val="0"/>
                <w:sz w:val="24"/>
                <w:szCs w:val="24"/>
              </w:rPr>
              <w:t>项目名称</w:t>
            </w:r>
            <w:bookmarkEnd w:id="14"/>
          </w:p>
        </w:tc>
        <w:tc>
          <w:tcPr>
            <w:tcW w:w="6600" w:type="dxa"/>
            <w:tcBorders>
              <w:top w:val="single" w:color="auto" w:sz="4" w:space="0"/>
              <w:left w:val="nil"/>
              <w:bottom w:val="single" w:color="auto" w:sz="4" w:space="0"/>
              <w:right w:val="single" w:color="auto" w:sz="4" w:space="0"/>
            </w:tcBorders>
            <w:noWrap/>
            <w:vAlign w:val="center"/>
          </w:tcPr>
          <w:p w14:paraId="2AB3D6E3">
            <w:pPr>
              <w:autoSpaceDE w:val="0"/>
              <w:autoSpaceDN w:val="0"/>
              <w:spacing w:line="500" w:lineRule="exact"/>
              <w:jc w:val="center"/>
              <w:rPr>
                <w:rFonts w:ascii="宋体" w:hAnsi="宋体" w:eastAsia="宋体" w:cs="Times New Roman"/>
                <w:kern w:val="0"/>
                <w:sz w:val="24"/>
                <w:szCs w:val="24"/>
              </w:rPr>
            </w:pPr>
          </w:p>
        </w:tc>
      </w:tr>
      <w:tr w14:paraId="28BE62C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38602EE1">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磋商响应供应商</w:t>
            </w:r>
          </w:p>
        </w:tc>
        <w:tc>
          <w:tcPr>
            <w:tcW w:w="6600" w:type="dxa"/>
            <w:tcBorders>
              <w:top w:val="single" w:color="auto" w:sz="4" w:space="0"/>
              <w:left w:val="nil"/>
              <w:bottom w:val="single" w:color="auto" w:sz="4" w:space="0"/>
              <w:right w:val="single" w:color="auto" w:sz="4" w:space="0"/>
            </w:tcBorders>
            <w:noWrap/>
            <w:vAlign w:val="center"/>
          </w:tcPr>
          <w:p w14:paraId="362FFA8D">
            <w:pPr>
              <w:autoSpaceDE w:val="0"/>
              <w:autoSpaceDN w:val="0"/>
              <w:spacing w:line="500" w:lineRule="exact"/>
              <w:jc w:val="center"/>
              <w:rPr>
                <w:rFonts w:ascii="宋体" w:hAnsi="宋体" w:eastAsia="宋体" w:cs="Times New Roman"/>
                <w:kern w:val="0"/>
                <w:sz w:val="24"/>
                <w:szCs w:val="24"/>
              </w:rPr>
            </w:pPr>
          </w:p>
        </w:tc>
      </w:tr>
      <w:tr w14:paraId="4B066D21">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63E86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600" w:type="dxa"/>
            <w:tcBorders>
              <w:top w:val="single" w:color="auto" w:sz="4" w:space="0"/>
              <w:left w:val="nil"/>
              <w:bottom w:val="single" w:color="auto" w:sz="4" w:space="0"/>
              <w:right w:val="single" w:color="auto" w:sz="4" w:space="0"/>
            </w:tcBorders>
            <w:noWrap/>
            <w:vAlign w:val="center"/>
          </w:tcPr>
          <w:p w14:paraId="12037C60">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0101606C">
            <w:pPr>
              <w:autoSpaceDE w:val="0"/>
              <w:autoSpaceDN w:val="0"/>
              <w:spacing w:line="500" w:lineRule="exact"/>
              <w:ind w:firstLine="840" w:firstLineChars="35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（小写）：</w:t>
            </w:r>
          </w:p>
        </w:tc>
      </w:tr>
      <w:tr w14:paraId="604EE04F">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3F42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质量要求</w:t>
            </w:r>
          </w:p>
        </w:tc>
        <w:tc>
          <w:tcPr>
            <w:tcW w:w="6600" w:type="dxa"/>
            <w:tcBorders>
              <w:top w:val="single" w:color="auto" w:sz="4" w:space="0"/>
              <w:left w:val="nil"/>
              <w:bottom w:val="single" w:color="auto" w:sz="4" w:space="0"/>
              <w:right w:val="single" w:color="auto" w:sz="4" w:space="0"/>
            </w:tcBorders>
            <w:noWrap/>
            <w:vAlign w:val="center"/>
          </w:tcPr>
          <w:p w14:paraId="2D6A6FCB">
            <w:pPr>
              <w:autoSpaceDE w:val="0"/>
              <w:autoSpaceDN w:val="0"/>
              <w:spacing w:line="500" w:lineRule="exact"/>
              <w:ind w:firstLine="120" w:firstLineChars="50"/>
              <w:rPr>
                <w:rFonts w:ascii="宋体" w:hAnsi="宋体" w:eastAsia="宋体" w:cs="Times New Roman"/>
                <w:kern w:val="0"/>
                <w:sz w:val="24"/>
                <w:szCs w:val="24"/>
              </w:rPr>
            </w:pPr>
          </w:p>
        </w:tc>
      </w:tr>
      <w:tr w14:paraId="7A50EA95">
        <w:tblPrEx>
          <w:tblCellMar>
            <w:top w:w="0" w:type="dxa"/>
            <w:left w:w="0" w:type="dxa"/>
            <w:bottom w:w="0" w:type="dxa"/>
            <w:right w:w="0" w:type="dxa"/>
          </w:tblCellMar>
        </w:tblPrEx>
        <w:trPr>
          <w:trHeight w:val="646"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5EE205C">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 货 期</w:t>
            </w:r>
          </w:p>
        </w:tc>
        <w:tc>
          <w:tcPr>
            <w:tcW w:w="6600" w:type="dxa"/>
            <w:tcBorders>
              <w:top w:val="single" w:color="auto" w:sz="4" w:space="0"/>
              <w:left w:val="nil"/>
              <w:bottom w:val="single" w:color="auto" w:sz="4" w:space="0"/>
              <w:right w:val="single" w:color="auto" w:sz="4" w:space="0"/>
            </w:tcBorders>
            <w:noWrap/>
            <w:vAlign w:val="center"/>
          </w:tcPr>
          <w:p w14:paraId="6264E496">
            <w:pPr>
              <w:autoSpaceDE w:val="0"/>
              <w:autoSpaceDN w:val="0"/>
              <w:spacing w:line="500" w:lineRule="exact"/>
              <w:jc w:val="center"/>
              <w:rPr>
                <w:rFonts w:ascii="宋体" w:hAnsi="宋体" w:eastAsia="宋体" w:cs="Times New Roman"/>
                <w:kern w:val="0"/>
                <w:sz w:val="24"/>
                <w:szCs w:val="24"/>
              </w:rPr>
            </w:pPr>
          </w:p>
        </w:tc>
      </w:tr>
      <w:tr w14:paraId="494C4890">
        <w:tblPrEx>
          <w:tblCellMar>
            <w:top w:w="0" w:type="dxa"/>
            <w:left w:w="0" w:type="dxa"/>
            <w:bottom w:w="0" w:type="dxa"/>
            <w:right w:w="0" w:type="dxa"/>
          </w:tblCellMar>
        </w:tblPrEx>
        <w:trPr>
          <w:trHeight w:val="646"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CE35B05">
            <w:pPr>
              <w:autoSpaceDE w:val="0"/>
              <w:autoSpaceDN w:val="0"/>
              <w:spacing w:line="500" w:lineRule="exact"/>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服务期限</w:t>
            </w:r>
          </w:p>
        </w:tc>
        <w:tc>
          <w:tcPr>
            <w:tcW w:w="6600" w:type="dxa"/>
            <w:tcBorders>
              <w:top w:val="single" w:color="auto" w:sz="4" w:space="0"/>
              <w:left w:val="nil"/>
              <w:bottom w:val="single" w:color="auto" w:sz="4" w:space="0"/>
              <w:right w:val="single" w:color="auto" w:sz="4" w:space="0"/>
            </w:tcBorders>
            <w:noWrap/>
            <w:vAlign w:val="center"/>
          </w:tcPr>
          <w:p w14:paraId="32279ACD">
            <w:pPr>
              <w:autoSpaceDE w:val="0"/>
              <w:autoSpaceDN w:val="0"/>
              <w:spacing w:line="500" w:lineRule="exact"/>
              <w:jc w:val="center"/>
              <w:rPr>
                <w:rFonts w:ascii="宋体" w:hAnsi="宋体" w:eastAsia="宋体" w:cs="Times New Roman"/>
                <w:kern w:val="0"/>
                <w:sz w:val="24"/>
                <w:szCs w:val="24"/>
              </w:rPr>
            </w:pPr>
          </w:p>
        </w:tc>
      </w:tr>
      <w:tr w14:paraId="20AADC48">
        <w:tblPrEx>
          <w:tblCellMar>
            <w:top w:w="0" w:type="dxa"/>
            <w:left w:w="0" w:type="dxa"/>
            <w:bottom w:w="0" w:type="dxa"/>
            <w:right w:w="0" w:type="dxa"/>
          </w:tblCellMar>
        </w:tblPrEx>
        <w:trPr>
          <w:trHeight w:val="658"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5A49670">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 保 期</w:t>
            </w:r>
          </w:p>
        </w:tc>
        <w:tc>
          <w:tcPr>
            <w:tcW w:w="6600" w:type="dxa"/>
            <w:tcBorders>
              <w:top w:val="single" w:color="auto" w:sz="4" w:space="0"/>
              <w:left w:val="nil"/>
              <w:bottom w:val="single" w:color="auto" w:sz="4" w:space="0"/>
              <w:right w:val="single" w:color="auto" w:sz="4" w:space="0"/>
            </w:tcBorders>
            <w:noWrap/>
            <w:vAlign w:val="center"/>
          </w:tcPr>
          <w:p w14:paraId="188FEE48">
            <w:pPr>
              <w:autoSpaceDE w:val="0"/>
              <w:autoSpaceDN w:val="0"/>
              <w:spacing w:line="500" w:lineRule="exact"/>
              <w:jc w:val="center"/>
              <w:rPr>
                <w:rFonts w:ascii="宋体" w:hAnsi="宋体" w:eastAsia="宋体" w:cs="Times New Roman"/>
                <w:kern w:val="0"/>
                <w:sz w:val="24"/>
                <w:szCs w:val="24"/>
              </w:rPr>
            </w:pPr>
          </w:p>
        </w:tc>
      </w:tr>
      <w:tr w14:paraId="73AD1CC9">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A4600AD">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磋商有效期</w:t>
            </w:r>
          </w:p>
        </w:tc>
        <w:tc>
          <w:tcPr>
            <w:tcW w:w="6600" w:type="dxa"/>
            <w:tcBorders>
              <w:top w:val="single" w:color="auto" w:sz="4" w:space="0"/>
              <w:left w:val="nil"/>
              <w:bottom w:val="single" w:color="auto" w:sz="4" w:space="0"/>
              <w:right w:val="single" w:color="auto" w:sz="4" w:space="0"/>
            </w:tcBorders>
            <w:noWrap/>
            <w:vAlign w:val="center"/>
          </w:tcPr>
          <w:p w14:paraId="4D88FDE4">
            <w:pPr>
              <w:autoSpaceDE w:val="0"/>
              <w:autoSpaceDN w:val="0"/>
              <w:spacing w:line="500" w:lineRule="exact"/>
              <w:jc w:val="center"/>
              <w:rPr>
                <w:rFonts w:ascii="宋体" w:hAnsi="宋体" w:eastAsia="宋体" w:cs="Times New Roman"/>
                <w:kern w:val="0"/>
                <w:sz w:val="24"/>
                <w:szCs w:val="24"/>
              </w:rPr>
            </w:pPr>
          </w:p>
        </w:tc>
      </w:tr>
      <w:tr w14:paraId="7F03DA1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E9A07B0">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联系人姓名及电话</w:t>
            </w:r>
          </w:p>
        </w:tc>
        <w:tc>
          <w:tcPr>
            <w:tcW w:w="6600" w:type="dxa"/>
            <w:tcBorders>
              <w:top w:val="single" w:color="auto" w:sz="4" w:space="0"/>
              <w:left w:val="nil"/>
              <w:bottom w:val="single" w:color="auto" w:sz="4" w:space="0"/>
              <w:right w:val="single" w:color="auto" w:sz="4" w:space="0"/>
            </w:tcBorders>
            <w:noWrap/>
            <w:vAlign w:val="center"/>
          </w:tcPr>
          <w:p w14:paraId="3FB0CAFF">
            <w:pPr>
              <w:autoSpaceDE w:val="0"/>
              <w:autoSpaceDN w:val="0"/>
              <w:spacing w:line="500" w:lineRule="exact"/>
              <w:jc w:val="center"/>
              <w:rPr>
                <w:rFonts w:ascii="宋体" w:hAnsi="宋体" w:eastAsia="宋体" w:cs="Times New Roman"/>
                <w:kern w:val="0"/>
                <w:sz w:val="24"/>
                <w:szCs w:val="24"/>
              </w:rPr>
            </w:pPr>
          </w:p>
        </w:tc>
      </w:tr>
      <w:tr w14:paraId="4CE81A1E">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263ACB">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  注</w:t>
            </w:r>
          </w:p>
        </w:tc>
        <w:tc>
          <w:tcPr>
            <w:tcW w:w="6600" w:type="dxa"/>
            <w:tcBorders>
              <w:top w:val="single" w:color="auto" w:sz="4" w:space="0"/>
              <w:left w:val="nil"/>
              <w:bottom w:val="single" w:color="auto" w:sz="4" w:space="0"/>
              <w:right w:val="single" w:color="auto" w:sz="4" w:space="0"/>
            </w:tcBorders>
            <w:noWrap/>
            <w:vAlign w:val="center"/>
          </w:tcPr>
          <w:p w14:paraId="192F0E20">
            <w:pPr>
              <w:autoSpaceDE w:val="0"/>
              <w:autoSpaceDN w:val="0"/>
              <w:spacing w:line="500" w:lineRule="exact"/>
              <w:jc w:val="center"/>
              <w:rPr>
                <w:rFonts w:ascii="宋体" w:hAnsi="宋体" w:eastAsia="宋体" w:cs="Times New Roman"/>
                <w:kern w:val="0"/>
                <w:sz w:val="24"/>
                <w:szCs w:val="24"/>
              </w:rPr>
            </w:pPr>
          </w:p>
        </w:tc>
      </w:tr>
    </w:tbl>
    <w:p w14:paraId="4C8E43DF">
      <w:pPr>
        <w:autoSpaceDE w:val="0"/>
        <w:autoSpaceDN w:val="0"/>
        <w:adjustRightInd w:val="0"/>
        <w:spacing w:line="500" w:lineRule="exact"/>
        <w:rPr>
          <w:rFonts w:ascii="宋体" w:hAnsi="宋体" w:eastAsia="宋体" w:cs="Times New Roman"/>
          <w:kern w:val="0"/>
          <w:sz w:val="24"/>
          <w:szCs w:val="24"/>
        </w:rPr>
      </w:pPr>
    </w:p>
    <w:p w14:paraId="45A0C461">
      <w:pPr>
        <w:autoSpaceDE w:val="0"/>
        <w:autoSpaceDN w:val="0"/>
        <w:adjustRightInd w:val="0"/>
        <w:spacing w:line="500" w:lineRule="exact"/>
        <w:rPr>
          <w:rFonts w:ascii="宋体" w:hAnsi="宋体" w:eastAsia="宋体" w:cs="Times New Roman"/>
          <w:kern w:val="0"/>
          <w:sz w:val="24"/>
          <w:szCs w:val="24"/>
        </w:rPr>
      </w:pPr>
    </w:p>
    <w:p w14:paraId="408DA5B2">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3D5FDB58">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13CF4CC">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05F8EBF7">
      <w:pPr>
        <w:keepNext/>
        <w:spacing w:line="500" w:lineRule="exact"/>
        <w:ind w:hanging="284"/>
        <w:jc w:val="center"/>
        <w:textAlignment w:val="baseline"/>
        <w:outlineLvl w:val="1"/>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
          <w:bCs/>
          <w:kern w:val="0"/>
          <w:sz w:val="32"/>
          <w:szCs w:val="32"/>
        </w:rPr>
        <w:t>4、资格审查资料</w:t>
      </w:r>
    </w:p>
    <w:p w14:paraId="0AA8593B">
      <w:pPr>
        <w:snapToGrid w:val="0"/>
        <w:spacing w:line="500" w:lineRule="exact"/>
        <w:ind w:right="44" w:rightChars="21"/>
        <w:rPr>
          <w:rFonts w:ascii="宋体" w:hAnsi="宋体" w:eastAsia="宋体" w:cs="Times New Roman"/>
          <w:b/>
          <w:bCs/>
          <w:sz w:val="24"/>
          <w:szCs w:val="24"/>
        </w:rPr>
      </w:pPr>
    </w:p>
    <w:p w14:paraId="1128A2A8">
      <w:pPr>
        <w:snapToGrid w:val="0"/>
        <w:spacing w:line="500" w:lineRule="exact"/>
        <w:ind w:right="-1" w:firstLine="210" w:firstLineChars="100"/>
        <w:rPr>
          <w:rFonts w:hint="eastAsia" w:ascii="Times New Roman" w:hAnsi="Times New Roman" w:eastAsia="宋体" w:cs="Times New Roman"/>
          <w:bCs/>
          <w:szCs w:val="24"/>
        </w:rPr>
      </w:pPr>
      <w:r>
        <w:rPr>
          <w:rFonts w:hint="eastAsia" w:ascii="Times New Roman" w:hAnsi="Times New Roman" w:eastAsia="宋体" w:cs="Times New Roman"/>
          <w:bCs/>
          <w:szCs w:val="24"/>
        </w:rPr>
        <w:t>1.满足《中华人民共和国政府采购法》第二十二条规定；</w:t>
      </w:r>
    </w:p>
    <w:p w14:paraId="5084E6B3">
      <w:pPr>
        <w:snapToGrid w:val="0"/>
        <w:spacing w:line="500" w:lineRule="exact"/>
        <w:ind w:right="-1" w:firstLine="210" w:firstLineChars="100"/>
        <w:rPr>
          <w:rFonts w:hint="eastAsia" w:ascii="Times New Roman" w:hAnsi="Times New Roman" w:eastAsia="宋体" w:cs="Times New Roman"/>
          <w:bCs/>
          <w:szCs w:val="24"/>
        </w:rPr>
      </w:pPr>
      <w:r>
        <w:rPr>
          <w:rFonts w:hint="eastAsia" w:ascii="Times New Roman" w:hAnsi="Times New Roman" w:eastAsia="宋体" w:cs="Times New Roman"/>
          <w:bCs/>
          <w:szCs w:val="24"/>
        </w:rPr>
        <w:t>2.落实政府采购政策满足的资格要求：本项目执行促进中小企业（监狱企业、残疾人福利性企业）发展等政府采购政策。</w:t>
      </w:r>
    </w:p>
    <w:p w14:paraId="78FDD19C">
      <w:pPr>
        <w:snapToGrid w:val="0"/>
        <w:spacing w:line="500" w:lineRule="exact"/>
        <w:ind w:right="-1" w:firstLine="210" w:firstLineChars="100"/>
        <w:rPr>
          <w:rFonts w:hint="eastAsia" w:ascii="Times New Roman" w:hAnsi="Times New Roman" w:eastAsia="宋体" w:cs="Times New Roman"/>
          <w:bCs/>
          <w:szCs w:val="24"/>
        </w:rPr>
      </w:pPr>
      <w:r>
        <w:rPr>
          <w:rFonts w:hint="eastAsia" w:ascii="Times New Roman" w:hAnsi="Times New Roman" w:eastAsia="宋体" w:cs="Times New Roman"/>
          <w:bCs/>
          <w:szCs w:val="24"/>
        </w:rPr>
        <w:t>3.本项目的特定资格要求</w:t>
      </w:r>
    </w:p>
    <w:p w14:paraId="7ADFAB60">
      <w:pPr>
        <w:snapToGrid w:val="0"/>
        <w:spacing w:line="500" w:lineRule="exact"/>
        <w:ind w:right="-1" w:firstLine="210" w:firstLineChars="100"/>
        <w:rPr>
          <w:rFonts w:hint="eastAsia" w:ascii="Times New Roman" w:hAnsi="Times New Roman" w:eastAsia="宋体" w:cs="Times New Roman"/>
          <w:bCs/>
          <w:szCs w:val="24"/>
        </w:rPr>
      </w:pPr>
      <w:r>
        <w:rPr>
          <w:rFonts w:hint="eastAsia" w:ascii="Times New Roman" w:hAnsi="Times New Roman" w:eastAsia="宋体" w:cs="Times New Roman"/>
          <w:bCs/>
          <w:szCs w:val="24"/>
        </w:rPr>
        <w:t>3.1供应商具有合格有效的营业执照；提供具有履行合同所必需的设备和专业技术能力（自行作出承诺，格式自拟）；</w:t>
      </w:r>
    </w:p>
    <w:p w14:paraId="01922799">
      <w:pPr>
        <w:snapToGrid w:val="0"/>
        <w:spacing w:line="500" w:lineRule="exact"/>
        <w:ind w:right="-1" w:firstLine="210" w:firstLineChars="100"/>
        <w:rPr>
          <w:rFonts w:hint="eastAsia" w:ascii="Times New Roman" w:hAnsi="Times New Roman" w:eastAsia="宋体" w:cs="Times New Roman"/>
          <w:bCs/>
          <w:szCs w:val="24"/>
        </w:rPr>
      </w:pPr>
      <w:r>
        <w:rPr>
          <w:rFonts w:hint="eastAsia" w:ascii="Times New Roman" w:hAnsi="Times New Roman" w:eastAsia="宋体" w:cs="Times New Roman"/>
          <w:bCs/>
          <w:szCs w:val="24"/>
        </w:rPr>
        <w:t>3.2供应商出具无行贿记录在中国裁判文书网自行查询或自行承诺（查询对象：企业、法定代表人）及企业自行承诺无商业贿赂和不正当竞争行为；</w:t>
      </w:r>
    </w:p>
    <w:p w14:paraId="674AFE06">
      <w:pPr>
        <w:snapToGrid w:val="0"/>
        <w:spacing w:line="500" w:lineRule="exact"/>
        <w:ind w:right="-1" w:firstLine="210" w:firstLineChars="100"/>
        <w:rPr>
          <w:rFonts w:hint="eastAsia" w:ascii="Times New Roman" w:hAnsi="Times New Roman" w:eastAsia="宋体" w:cs="Times New Roman"/>
          <w:bCs/>
          <w:szCs w:val="24"/>
        </w:rPr>
      </w:pPr>
      <w:r>
        <w:rPr>
          <w:rFonts w:hint="eastAsia" w:ascii="Times New Roman" w:hAnsi="Times New Roman" w:eastAsia="宋体" w:cs="Times New Roman"/>
          <w:bCs/>
          <w:szCs w:val="24"/>
        </w:rPr>
        <w:t>3.3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22494AA5">
      <w:pPr>
        <w:snapToGrid w:val="0"/>
        <w:spacing w:line="500" w:lineRule="exact"/>
        <w:ind w:right="-1" w:firstLine="210" w:firstLineChars="100"/>
        <w:rPr>
          <w:rFonts w:hint="eastAsia" w:ascii="Times New Roman" w:hAnsi="Times New Roman" w:eastAsia="宋体" w:cs="Times New Roman"/>
          <w:bCs/>
          <w:szCs w:val="24"/>
        </w:rPr>
      </w:pPr>
      <w:r>
        <w:rPr>
          <w:rFonts w:hint="eastAsia" w:ascii="Times New Roman" w:hAnsi="Times New Roman" w:eastAsia="宋体" w:cs="Times New Roman"/>
          <w:bCs/>
          <w:szCs w:val="24"/>
        </w:rPr>
        <w:t>3.4本项目不接受联合体投标；</w:t>
      </w:r>
    </w:p>
    <w:p w14:paraId="238F8FF1">
      <w:pPr>
        <w:snapToGrid w:val="0"/>
        <w:spacing w:line="500" w:lineRule="exact"/>
        <w:ind w:right="-1" w:firstLine="210" w:firstLineChars="100"/>
        <w:rPr>
          <w:rFonts w:hint="eastAsia" w:ascii="Times New Roman" w:hAnsi="Times New Roman" w:eastAsia="宋体" w:cs="Times New Roman"/>
          <w:bCs/>
          <w:szCs w:val="24"/>
        </w:rPr>
      </w:pPr>
      <w:r>
        <w:rPr>
          <w:rFonts w:hint="eastAsia" w:ascii="Times New Roman" w:hAnsi="Times New Roman" w:eastAsia="宋体" w:cs="Times New Roman"/>
          <w:bCs/>
          <w:szCs w:val="24"/>
        </w:rPr>
        <w:t>3.5本次磋商实行资格后审；</w:t>
      </w:r>
    </w:p>
    <w:p w14:paraId="34FEFD76">
      <w:pPr>
        <w:snapToGrid w:val="0"/>
        <w:spacing w:line="500" w:lineRule="exact"/>
        <w:ind w:right="-1" w:firstLine="210" w:firstLineChars="100"/>
        <w:rPr>
          <w:rFonts w:ascii="宋体" w:hAnsi="宋体" w:eastAsia="宋体" w:cs="Times New Roman"/>
          <w:sz w:val="24"/>
          <w:szCs w:val="24"/>
        </w:rPr>
      </w:pPr>
      <w:r>
        <w:rPr>
          <w:rFonts w:hint="eastAsia" w:ascii="Times New Roman" w:hAnsi="Times New Roman" w:eastAsia="宋体" w:cs="Times New Roman"/>
          <w:bCs/>
          <w:szCs w:val="24"/>
        </w:rPr>
        <w:t>注：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14:paraId="4480944B">
      <w:pPr>
        <w:spacing w:line="360" w:lineRule="auto"/>
        <w:ind w:firstLine="210" w:firstLineChars="100"/>
        <w:rPr>
          <w:rFonts w:ascii="Times New Roman" w:hAnsi="Times New Roman" w:eastAsia="宋体" w:cs="Times New Roman"/>
          <w:bCs/>
          <w:szCs w:val="24"/>
        </w:rPr>
      </w:pPr>
    </w:p>
    <w:p w14:paraId="7A229436">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注：以上为磋商响应供应商资格审查必备资料，需按竞争性磋商文件要求提供。</w:t>
      </w:r>
    </w:p>
    <w:p w14:paraId="62304AF0">
      <w:pPr>
        <w:spacing w:line="360" w:lineRule="auto"/>
        <w:jc w:val="center"/>
        <w:rPr>
          <w:rFonts w:ascii="宋体" w:hAnsi="宋体" w:eastAsia="宋体" w:cs="Times New Roman"/>
          <w:b/>
          <w:sz w:val="32"/>
          <w:szCs w:val="32"/>
        </w:rPr>
      </w:pPr>
      <w:r>
        <w:rPr>
          <w:rFonts w:ascii="宋体" w:hAnsi="宋体" w:eastAsia="宋体" w:cs="Times New Roman"/>
          <w:b/>
          <w:bCs/>
          <w:sz w:val="28"/>
          <w:szCs w:val="28"/>
        </w:rPr>
        <w:br w:type="page"/>
      </w:r>
    </w:p>
    <w:p w14:paraId="66CA93BA">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5、中小企业声明函</w:t>
      </w:r>
    </w:p>
    <w:p w14:paraId="69843F46">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37B7C102">
      <w:pPr>
        <w:spacing w:line="360" w:lineRule="auto"/>
        <w:ind w:firstLine="480" w:firstLineChars="200"/>
        <w:rPr>
          <w:rFonts w:ascii="宋体" w:hAnsi="宋体" w:eastAsia="宋体" w:cs="Times New Roman"/>
          <w:sz w:val="24"/>
          <w:szCs w:val="24"/>
        </w:rPr>
      </w:pPr>
    </w:p>
    <w:p w14:paraId="1C9847CB">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（项目名称）</w:t>
      </w:r>
      <w:r>
        <w:rPr>
          <w:rFonts w:ascii="宋体" w:hAnsi="宋体" w:eastAsia="宋体" w:cs="Times New Roman"/>
          <w:sz w:val="24"/>
          <w:szCs w:val="24"/>
        </w:rPr>
        <w:t xml:space="preserve"> 采购活动，</w:t>
      </w:r>
      <w:r>
        <w:rPr>
          <w:rFonts w:hint="eastAsia" w:ascii="宋体" w:hAnsi="宋体" w:eastAsia="宋体" w:cs="Times New Roman"/>
          <w:sz w:val="24"/>
          <w:szCs w:val="24"/>
        </w:rPr>
        <w:t>提供的货物全部由符合政策要求的中小企业制造，</w:t>
      </w:r>
      <w:r>
        <w:rPr>
          <w:rFonts w:ascii="宋体" w:hAnsi="宋体" w:eastAsia="宋体" w:cs="Times New Roman"/>
          <w:sz w:val="24"/>
          <w:szCs w:val="24"/>
        </w:rPr>
        <w:t>具体情况如下：</w:t>
      </w:r>
    </w:p>
    <w:p w14:paraId="76A163F1">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 企业名称）</w:t>
      </w:r>
      <w:r>
        <w:rPr>
          <w:rFonts w:ascii="宋体" w:hAnsi="宋体" w:eastAsia="宋体" w:cs="Times New Roman"/>
          <w:sz w:val="24"/>
          <w:szCs w:val="24"/>
        </w:rPr>
        <w:t>， 从业人员人， 营业收入为万元， 资产总额为万元， 属于</w:t>
      </w:r>
      <w:r>
        <w:rPr>
          <w:rFonts w:ascii="宋体" w:hAnsi="宋体" w:eastAsia="宋体" w:cs="Times New Roman"/>
          <w:sz w:val="24"/>
          <w:szCs w:val="24"/>
          <w:u w:val="single"/>
        </w:rPr>
        <w:t>（中型企业、 小型企业、 微型企业）</w:t>
      </w:r>
      <w:r>
        <w:rPr>
          <w:rFonts w:ascii="宋体" w:hAnsi="宋体" w:eastAsia="宋体" w:cs="Times New Roman"/>
          <w:sz w:val="24"/>
          <w:szCs w:val="24"/>
        </w:rPr>
        <w:t>；</w:t>
      </w:r>
    </w:p>
    <w:p w14:paraId="7150D1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w:t>
      </w:r>
      <w:r>
        <w:rPr>
          <w:rFonts w:ascii="宋体" w:hAnsi="宋体" w:eastAsia="宋体" w:cs="Times New Roman"/>
          <w:sz w:val="24"/>
          <w:szCs w:val="24"/>
        </w:rPr>
        <w:t>企业不属于大企业的分支机构， 不存在控股股东为大企业的情形， 也不存在与大企业的负责人为同一人的情形。</w:t>
      </w:r>
    </w:p>
    <w:p w14:paraId="604C72A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134607B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3694227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71C4D5D">
      <w:pPr>
        <w:spacing w:line="360" w:lineRule="auto"/>
        <w:ind w:firstLine="480" w:firstLineChars="200"/>
        <w:rPr>
          <w:rFonts w:ascii="宋体" w:hAnsi="宋体" w:eastAsia="宋体" w:cs="宋体"/>
          <w:iCs/>
          <w:sz w:val="24"/>
          <w:szCs w:val="24"/>
        </w:rPr>
      </w:pPr>
      <w:r>
        <w:rPr>
          <w:rFonts w:hint="eastAsia" w:ascii="宋体" w:hAnsi="宋体" w:eastAsia="宋体" w:cs="Times New Roman"/>
          <w:sz w:val="24"/>
          <w:szCs w:val="24"/>
        </w:rPr>
        <w:t>注：</w:t>
      </w:r>
      <w:r>
        <w:rPr>
          <w:rFonts w:ascii="宋体" w:hAnsi="宋体" w:eastAsia="宋体" w:cs="Times New Roman"/>
          <w:sz w:val="24"/>
          <w:szCs w:val="24"/>
        </w:rPr>
        <w:t>从业人员、 营业收入、 资产总额填报上一年度数据， 无上一年度数据的新成立企业可不填报。</w:t>
      </w:r>
    </w:p>
    <w:p w14:paraId="409A98DA">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049BFB2A">
      <w:pPr>
        <w:spacing w:line="360" w:lineRule="auto"/>
        <w:jc w:val="center"/>
        <w:rPr>
          <w:rFonts w:ascii="宋体" w:hAnsi="宋体" w:eastAsia="宋体" w:cs="宋体"/>
          <w:b/>
          <w:bCs/>
          <w:sz w:val="32"/>
          <w:szCs w:val="32"/>
        </w:rPr>
      </w:pPr>
      <w:r>
        <w:rPr>
          <w:rFonts w:hint="eastAsia" w:ascii="宋体" w:hAnsi="宋体" w:eastAsia="宋体" w:cs="Times New Roman"/>
          <w:b/>
          <w:bCs/>
          <w:sz w:val="32"/>
          <w:szCs w:val="32"/>
        </w:rPr>
        <w:t>6、</w:t>
      </w:r>
      <w:r>
        <w:rPr>
          <w:rFonts w:ascii="宋体" w:hAnsi="宋体" w:eastAsia="宋体" w:cs="宋体"/>
          <w:b/>
          <w:bCs/>
          <w:sz w:val="32"/>
          <w:szCs w:val="32"/>
        </w:rPr>
        <w:t>残疾人福利性单位声明函</w:t>
      </w:r>
    </w:p>
    <w:p w14:paraId="4539B1A8">
      <w:pPr>
        <w:jc w:val="center"/>
        <w:rPr>
          <w:rFonts w:ascii="宋体" w:hAnsi="宋体" w:eastAsia="宋体" w:cs="宋体"/>
          <w:b/>
          <w:bCs/>
          <w:iCs/>
          <w:sz w:val="24"/>
          <w:szCs w:val="24"/>
        </w:rPr>
      </w:pPr>
      <w:r>
        <w:rPr>
          <w:rFonts w:hint="eastAsia" w:ascii="宋体" w:hAnsi="宋体" w:eastAsia="宋体" w:cs="宋体"/>
          <w:b/>
          <w:bCs/>
          <w:iCs/>
          <w:sz w:val="24"/>
          <w:szCs w:val="24"/>
        </w:rPr>
        <w:t>（属于残疾人福利性单位的填写，不属于的无需填写此项内容）</w:t>
      </w:r>
    </w:p>
    <w:p w14:paraId="064185C0">
      <w:pPr>
        <w:spacing w:line="360" w:lineRule="auto"/>
        <w:jc w:val="center"/>
        <w:rPr>
          <w:rFonts w:ascii="宋体" w:hAnsi="宋体" w:eastAsia="宋体" w:cs="宋体"/>
          <w:b/>
          <w:bCs/>
          <w:sz w:val="32"/>
          <w:szCs w:val="32"/>
        </w:rPr>
      </w:pPr>
    </w:p>
    <w:p w14:paraId="6C424ACA">
      <w:pPr>
        <w:snapToGrid w:val="0"/>
        <w:spacing w:line="520" w:lineRule="exact"/>
        <w:ind w:left="1177" w:leftChars="-72" w:right="84" w:rightChars="40" w:hanging="1328" w:hangingChars="415"/>
        <w:jc w:val="center"/>
        <w:rPr>
          <w:rFonts w:ascii="宋体" w:hAnsi="宋体" w:eastAsia="宋体" w:cs="宋体"/>
          <w:sz w:val="32"/>
          <w:szCs w:val="32"/>
        </w:rPr>
      </w:pPr>
    </w:p>
    <w:p w14:paraId="6596000F">
      <w:pPr>
        <w:spacing w:line="360" w:lineRule="auto"/>
        <w:ind w:firstLine="480" w:firstLineChars="200"/>
        <w:rPr>
          <w:rFonts w:ascii="Calibri" w:hAnsi="Calibri" w:eastAsia="宋体" w:cs="宋体"/>
          <w:sz w:val="24"/>
          <w:szCs w:val="24"/>
        </w:rPr>
      </w:pPr>
      <w:r>
        <w:rPr>
          <w:rFonts w:ascii="Calibri" w:hAnsi="Calibri"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eastAsia="宋体" w:cs="宋体"/>
          <w:sz w:val="24"/>
          <w:szCs w:val="24"/>
        </w:rPr>
        <w:t>提供本</w:t>
      </w:r>
      <w:r>
        <w:rPr>
          <w:rFonts w:ascii="Calibri" w:hAnsi="Calibri" w:eastAsia="宋体" w:cs="宋体"/>
          <w:sz w:val="24"/>
          <w:szCs w:val="24"/>
        </w:rPr>
        <w:t>单位制造的货物</w:t>
      </w:r>
      <w:r>
        <w:rPr>
          <w:rFonts w:hint="eastAsia" w:ascii="Calibri" w:hAnsi="Calibri" w:eastAsia="宋体" w:cs="宋体"/>
          <w:sz w:val="24"/>
          <w:szCs w:val="24"/>
        </w:rPr>
        <w:t>，</w:t>
      </w:r>
      <w:r>
        <w:rPr>
          <w:rFonts w:ascii="Calibri" w:hAnsi="Calibri" w:eastAsia="宋体" w:cs="宋体"/>
          <w:sz w:val="24"/>
          <w:szCs w:val="24"/>
        </w:rPr>
        <w:t>或者提供其他残疾人福利性单位制造的货物（</w:t>
      </w:r>
      <w:r>
        <w:rPr>
          <w:rFonts w:hint="eastAsia" w:ascii="Calibri" w:hAnsi="Calibri" w:eastAsia="宋体" w:cs="宋体"/>
          <w:sz w:val="24"/>
          <w:szCs w:val="24"/>
        </w:rPr>
        <w:t>不</w:t>
      </w:r>
      <w:r>
        <w:rPr>
          <w:rFonts w:ascii="Calibri" w:hAnsi="Calibri" w:eastAsia="宋体" w:cs="宋体"/>
          <w:sz w:val="24"/>
          <w:szCs w:val="24"/>
        </w:rPr>
        <w:t>包括使用非残疾人福利性单位注册商标的货物）。</w:t>
      </w:r>
    </w:p>
    <w:p w14:paraId="5D2B48B2">
      <w:pPr>
        <w:spacing w:line="360" w:lineRule="auto"/>
        <w:ind w:firstLine="480" w:firstLineChars="200"/>
        <w:rPr>
          <w:rFonts w:ascii="宋体" w:hAnsi="宋体" w:eastAsia="宋体" w:cs="宋体"/>
          <w:b/>
          <w:bCs/>
          <w:sz w:val="32"/>
          <w:szCs w:val="32"/>
        </w:rPr>
      </w:pPr>
      <w:r>
        <w:rPr>
          <w:rFonts w:ascii="Calibri" w:hAnsi="Calibri" w:eastAsia="宋体" w:cs="宋体"/>
          <w:sz w:val="24"/>
          <w:szCs w:val="24"/>
        </w:rPr>
        <w:t>本单位对上述声明的真实性负责。如有虚假，将依法承担相应责任。</w:t>
      </w:r>
    </w:p>
    <w:p w14:paraId="11BBE6A7">
      <w:pPr>
        <w:spacing w:line="360" w:lineRule="auto"/>
        <w:jc w:val="center"/>
        <w:rPr>
          <w:rFonts w:ascii="宋体" w:hAnsi="宋体" w:eastAsia="宋体" w:cs="宋体"/>
          <w:b/>
          <w:bCs/>
          <w:sz w:val="32"/>
          <w:szCs w:val="32"/>
        </w:rPr>
      </w:pPr>
    </w:p>
    <w:p w14:paraId="5755215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0C6D1BC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22B1CFC">
      <w:pPr>
        <w:spacing w:line="360" w:lineRule="auto"/>
        <w:jc w:val="center"/>
        <w:rPr>
          <w:rFonts w:ascii="宋体" w:hAnsi="宋体" w:eastAsia="宋体" w:cs="宋体"/>
          <w:b/>
          <w:bCs/>
          <w:sz w:val="32"/>
          <w:szCs w:val="32"/>
        </w:rPr>
      </w:pPr>
    </w:p>
    <w:p w14:paraId="6EA3D102">
      <w:pPr>
        <w:spacing w:line="360" w:lineRule="auto"/>
        <w:rPr>
          <w:rFonts w:ascii="宋体" w:hAnsi="宋体" w:eastAsia="宋体" w:cs="宋体"/>
          <w:b/>
          <w:bCs/>
          <w:sz w:val="32"/>
          <w:szCs w:val="32"/>
        </w:rPr>
      </w:pPr>
      <w:r>
        <w:rPr>
          <w:rFonts w:ascii="宋体" w:hAnsi="宋体" w:eastAsia="宋体" w:cs="宋体"/>
          <w:b/>
          <w:bCs/>
          <w:sz w:val="32"/>
          <w:szCs w:val="32"/>
        </w:rPr>
        <w:br w:type="page"/>
      </w:r>
    </w:p>
    <w:p w14:paraId="54A78075">
      <w:pPr>
        <w:spacing w:line="360" w:lineRule="auto"/>
        <w:jc w:val="center"/>
        <w:rPr>
          <w:rFonts w:ascii="宋体" w:hAnsi="宋体" w:eastAsia="宋体" w:cs="宋体"/>
          <w:b/>
          <w:bCs/>
          <w:sz w:val="32"/>
          <w:szCs w:val="32"/>
        </w:rPr>
      </w:pPr>
      <w:r>
        <w:rPr>
          <w:rFonts w:ascii="宋体" w:hAnsi="宋体" w:eastAsia="宋体" w:cs="宋体"/>
          <w:b/>
          <w:bCs/>
          <w:sz w:val="32"/>
          <w:szCs w:val="32"/>
        </w:rPr>
        <w:t>7</w:t>
      </w:r>
      <w:r>
        <w:rPr>
          <w:rFonts w:hint="eastAsia" w:ascii="宋体" w:hAnsi="宋体" w:eastAsia="宋体" w:cs="宋体"/>
          <w:b/>
          <w:bCs/>
          <w:sz w:val="32"/>
          <w:szCs w:val="32"/>
        </w:rPr>
        <w:t>、</w:t>
      </w:r>
      <w:r>
        <w:rPr>
          <w:rFonts w:ascii="宋体" w:hAnsi="宋体" w:eastAsia="宋体" w:cs="宋体"/>
          <w:b/>
          <w:bCs/>
          <w:sz w:val="32"/>
          <w:szCs w:val="32"/>
        </w:rPr>
        <w:t>监狱企业证明文件</w:t>
      </w:r>
    </w:p>
    <w:p w14:paraId="24FEDC36">
      <w:pPr>
        <w:jc w:val="center"/>
        <w:rPr>
          <w:rFonts w:ascii="宋体" w:hAnsi="宋体" w:eastAsia="宋体" w:cs="宋体"/>
          <w:b/>
          <w:bCs/>
          <w:iCs/>
          <w:sz w:val="24"/>
          <w:szCs w:val="24"/>
        </w:rPr>
      </w:pPr>
      <w:r>
        <w:rPr>
          <w:rFonts w:hint="eastAsia" w:ascii="宋体" w:hAnsi="宋体" w:eastAsia="宋体" w:cs="宋体"/>
          <w:b/>
          <w:bCs/>
          <w:iCs/>
          <w:sz w:val="24"/>
          <w:szCs w:val="24"/>
        </w:rPr>
        <w:t>（属于监狱企业的提供，不属于的无需提供此项内容）</w:t>
      </w:r>
    </w:p>
    <w:p w14:paraId="1EDB0D54">
      <w:pPr>
        <w:spacing w:line="360" w:lineRule="auto"/>
        <w:rPr>
          <w:rFonts w:ascii="宋体" w:hAnsi="宋体" w:eastAsia="宋体" w:cs="宋体"/>
          <w:b/>
          <w:bCs/>
          <w:sz w:val="32"/>
          <w:szCs w:val="32"/>
        </w:rPr>
      </w:pPr>
    </w:p>
    <w:p w14:paraId="2722DACC">
      <w:pPr>
        <w:spacing w:line="360" w:lineRule="auto"/>
        <w:ind w:firstLine="480" w:firstLineChars="200"/>
        <w:jc w:val="left"/>
        <w:rPr>
          <w:rFonts w:ascii="宋体" w:hAnsi="宋体" w:eastAsia="宋体" w:cs="宋体"/>
          <w:bCs/>
          <w:sz w:val="24"/>
          <w:szCs w:val="24"/>
        </w:rPr>
      </w:pPr>
      <w:r>
        <w:rPr>
          <w:rFonts w:ascii="宋体" w:hAnsi="宋体" w:eastAsia="宋体" w:cs="宋体"/>
          <w:bCs/>
          <w:sz w:val="24"/>
          <w:szCs w:val="24"/>
        </w:rPr>
        <w:t>（监狱企业参加政府采购活动时，应当提供由省级以上监狱管理局、戒毒管理局(含新疆生产建设兵团)出具的属于监狱企业的证明文件。</w:t>
      </w:r>
    </w:p>
    <w:p w14:paraId="0B14BD5E">
      <w:pPr>
        <w:spacing w:line="360" w:lineRule="auto"/>
        <w:ind w:firstLine="720" w:firstLineChars="300"/>
        <w:jc w:val="left"/>
        <w:rPr>
          <w:rFonts w:ascii="宋体" w:hAnsi="宋体" w:eastAsia="宋体" w:cs="宋体"/>
          <w:bCs/>
          <w:sz w:val="24"/>
          <w:szCs w:val="24"/>
        </w:rPr>
      </w:pPr>
    </w:p>
    <w:p w14:paraId="7EB31129">
      <w:pPr>
        <w:spacing w:line="360" w:lineRule="auto"/>
        <w:ind w:firstLine="720" w:firstLineChars="300"/>
        <w:jc w:val="left"/>
        <w:rPr>
          <w:rFonts w:ascii="宋体" w:hAnsi="宋体" w:eastAsia="宋体" w:cs="宋体"/>
          <w:bCs/>
          <w:sz w:val="24"/>
          <w:szCs w:val="24"/>
        </w:rPr>
      </w:pPr>
      <w:r>
        <w:rPr>
          <w:rFonts w:ascii="宋体" w:hAnsi="宋体" w:eastAsia="宋体" w:cs="宋体"/>
          <w:bCs/>
          <w:sz w:val="24"/>
          <w:szCs w:val="24"/>
        </w:rPr>
        <w:t>注：在</w:t>
      </w:r>
      <w:r>
        <w:rPr>
          <w:rFonts w:hint="eastAsia" w:ascii="宋体" w:hAnsi="宋体" w:eastAsia="宋体" w:cs="宋体"/>
          <w:bCs/>
          <w:sz w:val="24"/>
          <w:szCs w:val="24"/>
        </w:rPr>
        <w:t>磋商响应</w:t>
      </w:r>
      <w:r>
        <w:rPr>
          <w:rFonts w:ascii="宋体" w:hAnsi="宋体" w:eastAsia="宋体" w:cs="宋体"/>
          <w:bCs/>
          <w:sz w:val="24"/>
          <w:szCs w:val="24"/>
        </w:rPr>
        <w:t>文件中附扫描件</w:t>
      </w:r>
      <w:r>
        <w:rPr>
          <w:rFonts w:hint="eastAsia" w:ascii="宋体" w:hAnsi="宋体" w:eastAsia="宋体" w:cs="宋体"/>
          <w:bCs/>
          <w:sz w:val="24"/>
          <w:szCs w:val="24"/>
        </w:rPr>
        <w:t>。</w:t>
      </w:r>
    </w:p>
    <w:p w14:paraId="7BF2EC7D">
      <w:pPr>
        <w:spacing w:line="360" w:lineRule="auto"/>
        <w:jc w:val="center"/>
        <w:rPr>
          <w:rFonts w:ascii="宋体" w:hAnsi="宋体" w:eastAsia="宋体" w:cs="Times New Roman"/>
          <w:b/>
          <w:sz w:val="32"/>
          <w:szCs w:val="32"/>
        </w:rPr>
      </w:pPr>
      <w:r>
        <w:rPr>
          <w:rFonts w:ascii="宋体" w:hAnsi="宋体" w:eastAsia="宋体" w:cs="Times New Roman"/>
          <w:b/>
          <w:sz w:val="32"/>
          <w:szCs w:val="32"/>
        </w:rPr>
        <w:br w:type="page"/>
      </w:r>
    </w:p>
    <w:p w14:paraId="59A1DE20">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8、人员培训及售后服务承诺</w:t>
      </w:r>
    </w:p>
    <w:p w14:paraId="6954367D">
      <w:pPr>
        <w:snapToGrid w:val="0"/>
        <w:spacing w:line="520" w:lineRule="exact"/>
        <w:ind w:left="48" w:leftChars="-72" w:right="-817" w:rightChars="-389" w:hanging="199" w:hangingChars="62"/>
        <w:rPr>
          <w:rFonts w:ascii="宋体" w:hAnsi="宋体" w:eastAsia="宋体" w:cs="Times New Roman"/>
          <w:b/>
          <w:sz w:val="32"/>
          <w:szCs w:val="32"/>
        </w:rPr>
      </w:pPr>
    </w:p>
    <w:p w14:paraId="68E4E4A1">
      <w:pPr>
        <w:snapToGrid w:val="0"/>
        <w:spacing w:line="520" w:lineRule="exact"/>
        <w:ind w:left="48" w:leftChars="-72" w:right="-817" w:rightChars="-389" w:hanging="199" w:hangingChars="62"/>
        <w:rPr>
          <w:rFonts w:ascii="宋体" w:hAnsi="宋体" w:eastAsia="宋体" w:cs="Times New Roman"/>
          <w:b/>
          <w:sz w:val="32"/>
          <w:szCs w:val="32"/>
        </w:rPr>
      </w:pPr>
    </w:p>
    <w:p w14:paraId="6FC28B04">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（根据项目需要设定。格式自拟，</w:t>
      </w:r>
      <w:r>
        <w:rPr>
          <w:rFonts w:hint="eastAsia" w:ascii="宋体" w:hAnsi="宋体" w:eastAsia="宋体" w:cs="Times New Roman"/>
          <w:b/>
          <w:sz w:val="24"/>
          <w:szCs w:val="21"/>
        </w:rPr>
        <w:t>落款处需供应商盖章或法定代表人签字或盖章</w:t>
      </w:r>
      <w:r>
        <w:rPr>
          <w:rFonts w:hint="eastAsia" w:ascii="宋体" w:hAnsi="宋体" w:eastAsia="宋体" w:cs="Times New Roman"/>
          <w:b/>
          <w:sz w:val="24"/>
          <w:szCs w:val="24"/>
        </w:rPr>
        <w:t>）</w:t>
      </w:r>
    </w:p>
    <w:p w14:paraId="03CA6851">
      <w:pPr>
        <w:spacing w:afterLines="50" w:line="520" w:lineRule="exact"/>
        <w:jc w:val="center"/>
        <w:rPr>
          <w:rFonts w:ascii="宋体" w:hAnsi="宋体" w:eastAsia="宋体" w:cs="Times New Roman"/>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9</w:t>
      </w:r>
      <w:r>
        <w:rPr>
          <w:rFonts w:hint="eastAsia" w:ascii="宋体" w:hAnsi="宋体" w:eastAsia="宋体" w:cs="Times New Roman"/>
          <w:b/>
          <w:bCs/>
          <w:sz w:val="32"/>
          <w:szCs w:val="32"/>
        </w:rPr>
        <w:t>、</w:t>
      </w:r>
      <w:r>
        <w:rPr>
          <w:rFonts w:hint="eastAsia" w:ascii="宋体" w:hAnsi="宋体" w:eastAsia="宋体" w:cs="Lucida Sans Unicode"/>
          <w:b/>
          <w:sz w:val="32"/>
          <w:szCs w:val="32"/>
        </w:rPr>
        <w:t>磋商货物合格文件</w:t>
      </w:r>
    </w:p>
    <w:p w14:paraId="7B4CA3D4">
      <w:pPr>
        <w:snapToGrid w:val="0"/>
        <w:spacing w:line="520" w:lineRule="exact"/>
        <w:ind w:left="-2" w:leftChars="-72" w:right="-817" w:rightChars="-389" w:hanging="149" w:hangingChars="62"/>
        <w:jc w:val="center"/>
        <w:rPr>
          <w:rFonts w:ascii="宋体" w:hAnsi="宋体" w:eastAsia="宋体" w:cs="Times New Roman"/>
          <w:b/>
          <w:sz w:val="24"/>
          <w:szCs w:val="24"/>
        </w:rPr>
      </w:pPr>
    </w:p>
    <w:p w14:paraId="7169BA58">
      <w:pPr>
        <w:spacing w:line="360" w:lineRule="auto"/>
        <w:ind w:firstLine="420"/>
        <w:jc w:val="left"/>
        <w:rPr>
          <w:rFonts w:ascii="微软雅黑" w:hAnsi="微软雅黑" w:eastAsia="微软雅黑" w:cs="微软雅黑"/>
          <w:b/>
          <w:sz w:val="24"/>
          <w:szCs w:val="24"/>
          <w:u w:color="000000"/>
        </w:rPr>
      </w:pPr>
    </w:p>
    <w:p w14:paraId="599A0D2A">
      <w:pPr>
        <w:spacing w:line="360" w:lineRule="auto"/>
        <w:ind w:firstLine="420"/>
        <w:jc w:val="left"/>
        <w:rPr>
          <w:rFonts w:ascii="微软雅黑" w:hAnsi="微软雅黑" w:eastAsia="微软雅黑" w:cs="微软雅黑"/>
          <w:b/>
          <w:sz w:val="24"/>
          <w:szCs w:val="24"/>
          <w:u w:color="000000"/>
        </w:rPr>
      </w:pPr>
      <w:r>
        <w:rPr>
          <w:rFonts w:ascii="微软雅黑" w:hAnsi="微软雅黑" w:eastAsia="微软雅黑" w:cs="微软雅黑"/>
          <w:b/>
          <w:sz w:val="24"/>
          <w:szCs w:val="24"/>
          <w:u w:color="000000"/>
        </w:rPr>
        <w:br w:type="page"/>
      </w:r>
    </w:p>
    <w:p w14:paraId="563D30BA">
      <w:pPr>
        <w:spacing w:line="360" w:lineRule="auto"/>
        <w:ind w:firstLine="420"/>
        <w:jc w:val="center"/>
        <w:rPr>
          <w:rFonts w:ascii="宋体" w:hAnsi="宋体" w:eastAsia="宋体" w:cs="Times New Roman"/>
          <w:sz w:val="32"/>
          <w:szCs w:val="32"/>
        </w:rPr>
      </w:pPr>
      <w:r>
        <w:rPr>
          <w:rFonts w:ascii="宋体" w:hAnsi="宋体" w:eastAsia="宋体" w:cs="Times New Roman"/>
          <w:b/>
          <w:bCs/>
          <w:sz w:val="32"/>
          <w:szCs w:val="32"/>
        </w:rPr>
        <w:t>10</w:t>
      </w:r>
      <w:r>
        <w:rPr>
          <w:rFonts w:hint="eastAsia" w:ascii="宋体" w:hAnsi="宋体" w:eastAsia="宋体" w:cs="Times New Roman"/>
          <w:b/>
          <w:bCs/>
          <w:sz w:val="32"/>
          <w:szCs w:val="32"/>
        </w:rPr>
        <w:t>、磋商</w:t>
      </w:r>
      <w:r>
        <w:rPr>
          <w:rFonts w:hint="eastAsia" w:ascii="宋体" w:hAnsi="宋体" w:eastAsia="宋体" w:cs="Lucida Sans Unicode"/>
          <w:b/>
          <w:sz w:val="32"/>
          <w:szCs w:val="32"/>
        </w:rPr>
        <w:t>报价表</w:t>
      </w:r>
    </w:p>
    <w:p w14:paraId="63E7D411">
      <w:pPr>
        <w:snapToGrid w:val="0"/>
        <w:spacing w:line="520" w:lineRule="exact"/>
        <w:ind w:left="-20" w:leftChars="-72" w:right="-817" w:rightChars="-389" w:hanging="131" w:hangingChars="62"/>
        <w:rPr>
          <w:rFonts w:ascii="宋体" w:hAnsi="宋体" w:eastAsia="宋体" w:cs="Times New Roman"/>
          <w:b/>
          <w:szCs w:val="21"/>
        </w:rPr>
      </w:pPr>
      <w:r>
        <w:rPr>
          <w:rFonts w:hint="eastAsia" w:ascii="宋体" w:hAnsi="宋体" w:eastAsia="宋体" w:cs="Times New Roman"/>
          <w:b/>
          <w:szCs w:val="21"/>
        </w:rPr>
        <w:t xml:space="preserve">附件1：                </w:t>
      </w:r>
    </w:p>
    <w:p w14:paraId="0D959ECF">
      <w:pPr>
        <w:snapToGrid w:val="0"/>
        <w:spacing w:line="520" w:lineRule="exact"/>
        <w:ind w:left="-2" w:leftChars="-72" w:right="-817" w:rightChars="-389" w:hanging="149" w:hangingChars="62"/>
        <w:jc w:val="center"/>
        <w:rPr>
          <w:rFonts w:ascii="宋体" w:hAnsi="宋体" w:eastAsia="宋体" w:cs="Times New Roman"/>
          <w:sz w:val="24"/>
          <w:szCs w:val="21"/>
        </w:rPr>
      </w:pPr>
      <w:r>
        <w:rPr>
          <w:rFonts w:hint="eastAsia" w:ascii="宋体" w:hAnsi="宋体" w:eastAsia="宋体" w:cs="Times New Roman"/>
          <w:b/>
          <w:sz w:val="24"/>
          <w:szCs w:val="21"/>
        </w:rPr>
        <w:t>磋商报价明细表</w:t>
      </w:r>
      <w:r>
        <w:rPr>
          <w:rFonts w:hint="eastAsia" w:ascii="宋体" w:hAnsi="宋体" w:eastAsia="宋体" w:cs="Times New Roman"/>
          <w:sz w:val="24"/>
          <w:szCs w:val="21"/>
        </w:rPr>
        <w:t>（格式）</w:t>
      </w:r>
    </w:p>
    <w:p w14:paraId="7F3B74DD">
      <w:pPr>
        <w:spacing w:line="520" w:lineRule="exact"/>
        <w:rPr>
          <w:rFonts w:ascii="宋体" w:hAnsi="宋体" w:eastAsia="宋体" w:cs="Times New Roman"/>
          <w:sz w:val="24"/>
          <w:szCs w:val="28"/>
        </w:rPr>
      </w:pPr>
      <w:r>
        <w:rPr>
          <w:rFonts w:hint="eastAsia" w:ascii="宋体" w:hAnsi="宋体" w:eastAsia="宋体" w:cs="Times New Roman"/>
          <w:sz w:val="24"/>
          <w:szCs w:val="24"/>
        </w:rPr>
        <w:t>磋商响应</w:t>
      </w:r>
      <w:r>
        <w:rPr>
          <w:rFonts w:ascii="宋体" w:hAnsi="宋体" w:eastAsia="宋体" w:cs="Times New Roman"/>
          <w:sz w:val="24"/>
          <w:szCs w:val="28"/>
        </w:rPr>
        <w:t>供应商名称：</w:t>
      </w:r>
    </w:p>
    <w:p w14:paraId="1EC20472">
      <w:pPr>
        <w:spacing w:line="520" w:lineRule="exact"/>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编号：</w:t>
      </w:r>
    </w:p>
    <w:p w14:paraId="7C1BD6A0">
      <w:pPr>
        <w:spacing w:line="520" w:lineRule="exact"/>
        <w:rPr>
          <w:rFonts w:hint="default" w:ascii="宋体" w:hAnsi="宋体" w:eastAsia="宋体" w:cs="Times New Roman"/>
          <w:sz w:val="24"/>
          <w:szCs w:val="28"/>
          <w:lang w:val="en-US" w:eastAsia="zh-CN"/>
        </w:rPr>
      </w:pPr>
      <w:r>
        <w:rPr>
          <w:rFonts w:ascii="宋体" w:hAnsi="宋体" w:eastAsia="宋体" w:cs="Times New Roman"/>
          <w:sz w:val="24"/>
          <w:szCs w:val="28"/>
        </w:rPr>
        <w:t>货币单位：元</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456"/>
        <w:gridCol w:w="1325"/>
        <w:gridCol w:w="975"/>
        <w:gridCol w:w="996"/>
        <w:gridCol w:w="1440"/>
      </w:tblGrid>
      <w:tr w14:paraId="3B736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2E1C211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序号</w:t>
            </w:r>
          </w:p>
        </w:tc>
        <w:tc>
          <w:tcPr>
            <w:tcW w:w="1260" w:type="dxa"/>
            <w:tcBorders>
              <w:top w:val="single" w:color="auto" w:sz="4" w:space="0"/>
              <w:left w:val="single" w:color="auto" w:sz="4" w:space="0"/>
              <w:bottom w:val="nil"/>
              <w:right w:val="single" w:color="auto" w:sz="4" w:space="0"/>
            </w:tcBorders>
            <w:noWrap/>
            <w:vAlign w:val="center"/>
          </w:tcPr>
          <w:p w14:paraId="4AE1447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设备名称</w:t>
            </w:r>
          </w:p>
        </w:tc>
        <w:tc>
          <w:tcPr>
            <w:tcW w:w="720" w:type="dxa"/>
            <w:tcBorders>
              <w:top w:val="single" w:color="auto" w:sz="4" w:space="0"/>
              <w:left w:val="single" w:color="auto" w:sz="4" w:space="0"/>
              <w:bottom w:val="nil"/>
              <w:right w:val="single" w:color="auto" w:sz="4" w:space="0"/>
            </w:tcBorders>
            <w:noWrap/>
            <w:vAlign w:val="center"/>
          </w:tcPr>
          <w:p w14:paraId="4A29F04E">
            <w:pPr>
              <w:widowControl/>
              <w:snapToGrid w:val="0"/>
              <w:spacing w:line="440" w:lineRule="exact"/>
              <w:jc w:val="left"/>
              <w:rPr>
                <w:rFonts w:ascii="宋体" w:hAnsi="宋体" w:eastAsia="宋体" w:cs="宋体"/>
                <w:kern w:val="0"/>
                <w:sz w:val="22"/>
              </w:rPr>
            </w:pPr>
            <w:r>
              <w:rPr>
                <w:rFonts w:hint="eastAsia" w:ascii="宋体" w:hAnsi="宋体" w:eastAsia="宋体" w:cs="宋体"/>
                <w:kern w:val="0"/>
                <w:sz w:val="22"/>
              </w:rPr>
              <w:t>品牌</w:t>
            </w:r>
          </w:p>
        </w:tc>
        <w:tc>
          <w:tcPr>
            <w:tcW w:w="1456" w:type="dxa"/>
            <w:tcBorders>
              <w:top w:val="single" w:color="auto" w:sz="4" w:space="0"/>
              <w:left w:val="single" w:color="auto" w:sz="4" w:space="0"/>
              <w:bottom w:val="nil"/>
              <w:right w:val="single" w:color="auto" w:sz="4" w:space="0"/>
            </w:tcBorders>
            <w:noWrap/>
            <w:vAlign w:val="center"/>
          </w:tcPr>
          <w:p w14:paraId="0151E37B">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规格型号</w:t>
            </w:r>
          </w:p>
        </w:tc>
        <w:tc>
          <w:tcPr>
            <w:tcW w:w="1325" w:type="dxa"/>
            <w:tcBorders>
              <w:top w:val="single" w:color="auto" w:sz="4" w:space="0"/>
              <w:left w:val="single" w:color="auto" w:sz="4" w:space="0"/>
              <w:bottom w:val="nil"/>
              <w:right w:val="single" w:color="auto" w:sz="4" w:space="0"/>
            </w:tcBorders>
            <w:noWrap/>
            <w:vAlign w:val="center"/>
          </w:tcPr>
          <w:p w14:paraId="4C4996F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pacing w:val="20"/>
                <w:sz w:val="22"/>
              </w:rPr>
              <w:t>原产地</w:t>
            </w:r>
          </w:p>
        </w:tc>
        <w:tc>
          <w:tcPr>
            <w:tcW w:w="975" w:type="dxa"/>
            <w:tcBorders>
              <w:top w:val="single" w:color="auto" w:sz="4" w:space="0"/>
              <w:left w:val="single" w:color="auto" w:sz="4" w:space="0"/>
              <w:bottom w:val="nil"/>
              <w:right w:val="single" w:color="auto" w:sz="4" w:space="0"/>
            </w:tcBorders>
            <w:noWrap/>
            <w:vAlign w:val="center"/>
          </w:tcPr>
          <w:p w14:paraId="23783834">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单位</w:t>
            </w:r>
          </w:p>
        </w:tc>
        <w:tc>
          <w:tcPr>
            <w:tcW w:w="996" w:type="dxa"/>
            <w:tcBorders>
              <w:top w:val="single" w:color="auto" w:sz="4" w:space="0"/>
              <w:left w:val="single" w:color="auto" w:sz="4" w:space="0"/>
              <w:bottom w:val="nil"/>
              <w:right w:val="single" w:color="auto" w:sz="4" w:space="0"/>
            </w:tcBorders>
            <w:noWrap/>
            <w:vAlign w:val="center"/>
          </w:tcPr>
          <w:p w14:paraId="77ABA86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数量</w:t>
            </w:r>
          </w:p>
        </w:tc>
        <w:tc>
          <w:tcPr>
            <w:tcW w:w="1440" w:type="dxa"/>
            <w:tcBorders>
              <w:top w:val="single" w:color="auto" w:sz="4" w:space="0"/>
              <w:left w:val="single" w:color="auto" w:sz="4" w:space="0"/>
              <w:bottom w:val="nil"/>
              <w:right w:val="single" w:color="auto" w:sz="4" w:space="0"/>
            </w:tcBorders>
            <w:noWrap/>
            <w:vAlign w:val="center"/>
          </w:tcPr>
          <w:p w14:paraId="5CEF52AA">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单价</w:t>
            </w:r>
          </w:p>
        </w:tc>
      </w:tr>
      <w:tr w14:paraId="47996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C2D0B7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A9DD0C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A4D40BA">
            <w:pPr>
              <w:spacing w:line="440" w:lineRule="exact"/>
              <w:rPr>
                <w:rFonts w:ascii="宋体" w:hAnsi="宋体" w:eastAsia="宋体" w:cs="宋体"/>
                <w:sz w:val="22"/>
              </w:rPr>
            </w:pPr>
          </w:p>
        </w:tc>
        <w:tc>
          <w:tcPr>
            <w:tcW w:w="1456" w:type="dxa"/>
            <w:tcBorders>
              <w:top w:val="single" w:color="auto" w:sz="4" w:space="0"/>
              <w:left w:val="single" w:color="auto" w:sz="4" w:space="0"/>
              <w:bottom w:val="single" w:color="auto" w:sz="4" w:space="0"/>
              <w:right w:val="single" w:color="auto" w:sz="4" w:space="0"/>
            </w:tcBorders>
            <w:noWrap/>
          </w:tcPr>
          <w:p w14:paraId="763F1AE6">
            <w:pPr>
              <w:spacing w:line="440" w:lineRule="exact"/>
              <w:rPr>
                <w:rFonts w:ascii="宋体" w:hAnsi="宋体" w:eastAsia="宋体" w:cs="宋体"/>
                <w:sz w:val="22"/>
              </w:rPr>
            </w:pPr>
          </w:p>
        </w:tc>
        <w:tc>
          <w:tcPr>
            <w:tcW w:w="1325" w:type="dxa"/>
            <w:tcBorders>
              <w:top w:val="single" w:color="auto" w:sz="4" w:space="0"/>
              <w:left w:val="single" w:color="auto" w:sz="4" w:space="0"/>
              <w:bottom w:val="single" w:color="auto" w:sz="4" w:space="0"/>
              <w:right w:val="single" w:color="auto" w:sz="4" w:space="0"/>
            </w:tcBorders>
            <w:noWrap/>
          </w:tcPr>
          <w:p w14:paraId="4DFC5159">
            <w:pPr>
              <w:spacing w:line="440" w:lineRule="exact"/>
              <w:rPr>
                <w:rFonts w:ascii="宋体" w:hAnsi="宋体" w:eastAsia="宋体" w:cs="宋体"/>
                <w:sz w:val="22"/>
              </w:rPr>
            </w:pPr>
          </w:p>
        </w:tc>
        <w:tc>
          <w:tcPr>
            <w:tcW w:w="975" w:type="dxa"/>
            <w:tcBorders>
              <w:top w:val="single" w:color="auto" w:sz="4" w:space="0"/>
              <w:left w:val="single" w:color="auto" w:sz="4" w:space="0"/>
              <w:bottom w:val="single" w:color="auto" w:sz="4" w:space="0"/>
              <w:right w:val="single" w:color="auto" w:sz="4" w:space="0"/>
            </w:tcBorders>
            <w:noWrap/>
          </w:tcPr>
          <w:p w14:paraId="72976A9F">
            <w:pPr>
              <w:spacing w:line="440" w:lineRule="exact"/>
              <w:rPr>
                <w:rFonts w:ascii="宋体" w:hAnsi="宋体" w:eastAsia="宋体" w:cs="宋体"/>
                <w:sz w:val="22"/>
              </w:rPr>
            </w:pPr>
          </w:p>
        </w:tc>
        <w:tc>
          <w:tcPr>
            <w:tcW w:w="996" w:type="dxa"/>
            <w:tcBorders>
              <w:top w:val="single" w:color="auto" w:sz="4" w:space="0"/>
              <w:left w:val="single" w:color="auto" w:sz="4" w:space="0"/>
              <w:bottom w:val="single" w:color="auto" w:sz="4" w:space="0"/>
              <w:right w:val="single" w:color="auto" w:sz="4" w:space="0"/>
            </w:tcBorders>
            <w:noWrap/>
          </w:tcPr>
          <w:p w14:paraId="24BD17D8">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392EC835">
            <w:pPr>
              <w:spacing w:line="440" w:lineRule="exact"/>
              <w:rPr>
                <w:rFonts w:ascii="宋体" w:hAnsi="宋体" w:eastAsia="宋体" w:cs="宋体"/>
                <w:sz w:val="22"/>
              </w:rPr>
            </w:pPr>
          </w:p>
        </w:tc>
      </w:tr>
      <w:tr w14:paraId="100C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624A1D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53AADA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47E0750">
            <w:pPr>
              <w:spacing w:line="440" w:lineRule="exact"/>
              <w:rPr>
                <w:rFonts w:ascii="宋体" w:hAnsi="宋体" w:eastAsia="宋体" w:cs="宋体"/>
                <w:sz w:val="22"/>
              </w:rPr>
            </w:pPr>
          </w:p>
        </w:tc>
        <w:tc>
          <w:tcPr>
            <w:tcW w:w="1456" w:type="dxa"/>
            <w:tcBorders>
              <w:top w:val="single" w:color="auto" w:sz="4" w:space="0"/>
              <w:left w:val="single" w:color="auto" w:sz="4" w:space="0"/>
              <w:bottom w:val="single" w:color="auto" w:sz="4" w:space="0"/>
              <w:right w:val="single" w:color="auto" w:sz="4" w:space="0"/>
            </w:tcBorders>
            <w:noWrap/>
          </w:tcPr>
          <w:p w14:paraId="0EDA6647">
            <w:pPr>
              <w:spacing w:line="440" w:lineRule="exact"/>
              <w:rPr>
                <w:rFonts w:ascii="宋体" w:hAnsi="宋体" w:eastAsia="宋体" w:cs="宋体"/>
                <w:sz w:val="22"/>
              </w:rPr>
            </w:pPr>
          </w:p>
        </w:tc>
        <w:tc>
          <w:tcPr>
            <w:tcW w:w="1325" w:type="dxa"/>
            <w:tcBorders>
              <w:top w:val="single" w:color="auto" w:sz="4" w:space="0"/>
              <w:left w:val="single" w:color="auto" w:sz="4" w:space="0"/>
              <w:bottom w:val="single" w:color="auto" w:sz="4" w:space="0"/>
              <w:right w:val="single" w:color="auto" w:sz="4" w:space="0"/>
            </w:tcBorders>
            <w:noWrap/>
          </w:tcPr>
          <w:p w14:paraId="3779C970">
            <w:pPr>
              <w:spacing w:line="440" w:lineRule="exact"/>
              <w:rPr>
                <w:rFonts w:ascii="宋体" w:hAnsi="宋体" w:eastAsia="宋体" w:cs="宋体"/>
                <w:sz w:val="22"/>
              </w:rPr>
            </w:pPr>
          </w:p>
        </w:tc>
        <w:tc>
          <w:tcPr>
            <w:tcW w:w="975" w:type="dxa"/>
            <w:tcBorders>
              <w:top w:val="single" w:color="auto" w:sz="4" w:space="0"/>
              <w:left w:val="single" w:color="auto" w:sz="4" w:space="0"/>
              <w:bottom w:val="single" w:color="auto" w:sz="4" w:space="0"/>
              <w:right w:val="single" w:color="auto" w:sz="4" w:space="0"/>
            </w:tcBorders>
            <w:noWrap/>
          </w:tcPr>
          <w:p w14:paraId="0EB47619">
            <w:pPr>
              <w:spacing w:line="440" w:lineRule="exact"/>
              <w:rPr>
                <w:rFonts w:ascii="宋体" w:hAnsi="宋体" w:eastAsia="宋体" w:cs="宋体"/>
                <w:sz w:val="22"/>
              </w:rPr>
            </w:pPr>
          </w:p>
        </w:tc>
        <w:tc>
          <w:tcPr>
            <w:tcW w:w="996" w:type="dxa"/>
            <w:tcBorders>
              <w:top w:val="single" w:color="auto" w:sz="4" w:space="0"/>
              <w:left w:val="single" w:color="auto" w:sz="4" w:space="0"/>
              <w:bottom w:val="single" w:color="auto" w:sz="4" w:space="0"/>
              <w:right w:val="single" w:color="auto" w:sz="4" w:space="0"/>
            </w:tcBorders>
            <w:noWrap/>
          </w:tcPr>
          <w:p w14:paraId="6DE5D7DC">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4361AE63">
            <w:pPr>
              <w:spacing w:line="440" w:lineRule="exact"/>
              <w:rPr>
                <w:rFonts w:ascii="宋体" w:hAnsi="宋体" w:eastAsia="宋体" w:cs="宋体"/>
                <w:sz w:val="22"/>
              </w:rPr>
            </w:pPr>
          </w:p>
        </w:tc>
      </w:tr>
      <w:tr w14:paraId="1D84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FE6A46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E2AF22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76378C2">
            <w:pPr>
              <w:spacing w:line="440" w:lineRule="exact"/>
              <w:rPr>
                <w:rFonts w:ascii="宋体" w:hAnsi="宋体" w:eastAsia="宋体" w:cs="宋体"/>
                <w:sz w:val="22"/>
              </w:rPr>
            </w:pPr>
          </w:p>
        </w:tc>
        <w:tc>
          <w:tcPr>
            <w:tcW w:w="1456" w:type="dxa"/>
            <w:tcBorders>
              <w:top w:val="single" w:color="auto" w:sz="4" w:space="0"/>
              <w:left w:val="single" w:color="auto" w:sz="4" w:space="0"/>
              <w:bottom w:val="single" w:color="auto" w:sz="4" w:space="0"/>
              <w:right w:val="single" w:color="auto" w:sz="4" w:space="0"/>
            </w:tcBorders>
            <w:noWrap/>
          </w:tcPr>
          <w:p w14:paraId="7490AAA2">
            <w:pPr>
              <w:spacing w:line="440" w:lineRule="exact"/>
              <w:rPr>
                <w:rFonts w:ascii="宋体" w:hAnsi="宋体" w:eastAsia="宋体" w:cs="宋体"/>
                <w:sz w:val="22"/>
              </w:rPr>
            </w:pPr>
          </w:p>
        </w:tc>
        <w:tc>
          <w:tcPr>
            <w:tcW w:w="1325" w:type="dxa"/>
            <w:tcBorders>
              <w:top w:val="single" w:color="auto" w:sz="4" w:space="0"/>
              <w:left w:val="single" w:color="auto" w:sz="4" w:space="0"/>
              <w:bottom w:val="single" w:color="auto" w:sz="4" w:space="0"/>
              <w:right w:val="single" w:color="auto" w:sz="4" w:space="0"/>
            </w:tcBorders>
            <w:noWrap/>
          </w:tcPr>
          <w:p w14:paraId="750A4C90">
            <w:pPr>
              <w:spacing w:line="440" w:lineRule="exact"/>
              <w:rPr>
                <w:rFonts w:ascii="宋体" w:hAnsi="宋体" w:eastAsia="宋体" w:cs="宋体"/>
                <w:sz w:val="22"/>
              </w:rPr>
            </w:pPr>
          </w:p>
        </w:tc>
        <w:tc>
          <w:tcPr>
            <w:tcW w:w="975" w:type="dxa"/>
            <w:tcBorders>
              <w:top w:val="single" w:color="auto" w:sz="4" w:space="0"/>
              <w:left w:val="single" w:color="auto" w:sz="4" w:space="0"/>
              <w:bottom w:val="single" w:color="auto" w:sz="4" w:space="0"/>
              <w:right w:val="single" w:color="auto" w:sz="4" w:space="0"/>
            </w:tcBorders>
            <w:noWrap/>
          </w:tcPr>
          <w:p w14:paraId="498B82D9">
            <w:pPr>
              <w:spacing w:line="440" w:lineRule="exact"/>
              <w:rPr>
                <w:rFonts w:ascii="宋体" w:hAnsi="宋体" w:eastAsia="宋体" w:cs="宋体"/>
                <w:sz w:val="22"/>
              </w:rPr>
            </w:pPr>
          </w:p>
        </w:tc>
        <w:tc>
          <w:tcPr>
            <w:tcW w:w="996" w:type="dxa"/>
            <w:tcBorders>
              <w:top w:val="single" w:color="auto" w:sz="4" w:space="0"/>
              <w:left w:val="single" w:color="auto" w:sz="4" w:space="0"/>
              <w:bottom w:val="single" w:color="auto" w:sz="4" w:space="0"/>
              <w:right w:val="single" w:color="auto" w:sz="4" w:space="0"/>
            </w:tcBorders>
            <w:noWrap/>
          </w:tcPr>
          <w:p w14:paraId="70D8625B">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61A9CC89">
            <w:pPr>
              <w:spacing w:line="440" w:lineRule="exact"/>
              <w:rPr>
                <w:rFonts w:ascii="宋体" w:hAnsi="宋体" w:eastAsia="宋体" w:cs="宋体"/>
                <w:sz w:val="22"/>
              </w:rPr>
            </w:pPr>
          </w:p>
        </w:tc>
      </w:tr>
      <w:tr w14:paraId="65298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388EBBAB">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5164D5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798DBEA">
            <w:pPr>
              <w:spacing w:line="440" w:lineRule="exact"/>
              <w:rPr>
                <w:rFonts w:ascii="宋体" w:hAnsi="宋体" w:eastAsia="宋体" w:cs="宋体"/>
                <w:sz w:val="22"/>
              </w:rPr>
            </w:pPr>
          </w:p>
        </w:tc>
        <w:tc>
          <w:tcPr>
            <w:tcW w:w="1456" w:type="dxa"/>
            <w:tcBorders>
              <w:top w:val="single" w:color="auto" w:sz="4" w:space="0"/>
              <w:left w:val="single" w:color="auto" w:sz="4" w:space="0"/>
              <w:bottom w:val="single" w:color="auto" w:sz="4" w:space="0"/>
              <w:right w:val="single" w:color="auto" w:sz="4" w:space="0"/>
            </w:tcBorders>
            <w:noWrap/>
          </w:tcPr>
          <w:p w14:paraId="4C224A65">
            <w:pPr>
              <w:spacing w:line="440" w:lineRule="exact"/>
              <w:rPr>
                <w:rFonts w:ascii="宋体" w:hAnsi="宋体" w:eastAsia="宋体" w:cs="宋体"/>
                <w:sz w:val="22"/>
              </w:rPr>
            </w:pPr>
          </w:p>
        </w:tc>
        <w:tc>
          <w:tcPr>
            <w:tcW w:w="1325" w:type="dxa"/>
            <w:tcBorders>
              <w:top w:val="single" w:color="auto" w:sz="4" w:space="0"/>
              <w:left w:val="single" w:color="auto" w:sz="4" w:space="0"/>
              <w:bottom w:val="single" w:color="auto" w:sz="4" w:space="0"/>
              <w:right w:val="single" w:color="auto" w:sz="4" w:space="0"/>
            </w:tcBorders>
            <w:noWrap/>
          </w:tcPr>
          <w:p w14:paraId="1738DCA6">
            <w:pPr>
              <w:spacing w:line="440" w:lineRule="exact"/>
              <w:rPr>
                <w:rFonts w:ascii="宋体" w:hAnsi="宋体" w:eastAsia="宋体" w:cs="宋体"/>
                <w:sz w:val="22"/>
              </w:rPr>
            </w:pPr>
          </w:p>
        </w:tc>
        <w:tc>
          <w:tcPr>
            <w:tcW w:w="975" w:type="dxa"/>
            <w:tcBorders>
              <w:top w:val="single" w:color="auto" w:sz="4" w:space="0"/>
              <w:left w:val="single" w:color="auto" w:sz="4" w:space="0"/>
              <w:bottom w:val="single" w:color="auto" w:sz="4" w:space="0"/>
              <w:right w:val="single" w:color="auto" w:sz="4" w:space="0"/>
            </w:tcBorders>
            <w:noWrap/>
          </w:tcPr>
          <w:p w14:paraId="6B40E533">
            <w:pPr>
              <w:spacing w:line="440" w:lineRule="exact"/>
              <w:rPr>
                <w:rFonts w:ascii="宋体" w:hAnsi="宋体" w:eastAsia="宋体" w:cs="宋体"/>
                <w:sz w:val="22"/>
              </w:rPr>
            </w:pPr>
          </w:p>
        </w:tc>
        <w:tc>
          <w:tcPr>
            <w:tcW w:w="996" w:type="dxa"/>
            <w:tcBorders>
              <w:top w:val="single" w:color="auto" w:sz="4" w:space="0"/>
              <w:left w:val="single" w:color="auto" w:sz="4" w:space="0"/>
              <w:bottom w:val="single" w:color="auto" w:sz="4" w:space="0"/>
              <w:right w:val="single" w:color="auto" w:sz="4" w:space="0"/>
            </w:tcBorders>
            <w:noWrap/>
          </w:tcPr>
          <w:p w14:paraId="1FBC7212">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74CF685F">
            <w:pPr>
              <w:spacing w:line="440" w:lineRule="exact"/>
              <w:rPr>
                <w:rFonts w:ascii="宋体" w:hAnsi="宋体" w:eastAsia="宋体" w:cs="宋体"/>
                <w:sz w:val="22"/>
              </w:rPr>
            </w:pPr>
          </w:p>
        </w:tc>
      </w:tr>
      <w:tr w14:paraId="44C6B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03D78C">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0CF84C7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技术服务费(含培训费等)</w:t>
            </w:r>
          </w:p>
        </w:tc>
        <w:tc>
          <w:tcPr>
            <w:tcW w:w="1440" w:type="dxa"/>
            <w:tcBorders>
              <w:top w:val="single" w:color="auto" w:sz="4" w:space="0"/>
              <w:left w:val="single" w:color="auto" w:sz="4" w:space="0"/>
              <w:bottom w:val="single" w:color="auto" w:sz="4" w:space="0"/>
              <w:right w:val="single" w:color="auto" w:sz="4" w:space="0"/>
            </w:tcBorders>
            <w:noWrap/>
          </w:tcPr>
          <w:p w14:paraId="1912295F">
            <w:pPr>
              <w:spacing w:line="440" w:lineRule="exact"/>
              <w:rPr>
                <w:rFonts w:ascii="宋体" w:hAnsi="宋体" w:eastAsia="宋体" w:cs="宋体"/>
                <w:sz w:val="22"/>
              </w:rPr>
            </w:pPr>
          </w:p>
        </w:tc>
      </w:tr>
      <w:tr w14:paraId="37DE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0CF5F666">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32D70399">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安装调试费</w:t>
            </w:r>
          </w:p>
        </w:tc>
        <w:tc>
          <w:tcPr>
            <w:tcW w:w="1440" w:type="dxa"/>
            <w:tcBorders>
              <w:top w:val="single" w:color="auto" w:sz="4" w:space="0"/>
              <w:left w:val="single" w:color="auto" w:sz="4" w:space="0"/>
              <w:bottom w:val="single" w:color="auto" w:sz="4" w:space="0"/>
              <w:right w:val="single" w:color="auto" w:sz="4" w:space="0"/>
            </w:tcBorders>
            <w:noWrap/>
          </w:tcPr>
          <w:p w14:paraId="58139719">
            <w:pPr>
              <w:spacing w:line="440" w:lineRule="exact"/>
              <w:rPr>
                <w:rFonts w:ascii="宋体" w:hAnsi="宋体" w:eastAsia="宋体" w:cs="宋体"/>
                <w:sz w:val="22"/>
              </w:rPr>
            </w:pPr>
          </w:p>
        </w:tc>
      </w:tr>
      <w:tr w14:paraId="0439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24B22D">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16DF368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税费</w:t>
            </w:r>
          </w:p>
        </w:tc>
        <w:tc>
          <w:tcPr>
            <w:tcW w:w="1440" w:type="dxa"/>
            <w:tcBorders>
              <w:top w:val="single" w:color="auto" w:sz="4" w:space="0"/>
              <w:left w:val="single" w:color="auto" w:sz="4" w:space="0"/>
              <w:bottom w:val="single" w:color="auto" w:sz="4" w:space="0"/>
              <w:right w:val="single" w:color="auto" w:sz="4" w:space="0"/>
            </w:tcBorders>
            <w:noWrap/>
          </w:tcPr>
          <w:p w14:paraId="1B91E4B3">
            <w:pPr>
              <w:spacing w:line="440" w:lineRule="exact"/>
              <w:rPr>
                <w:rFonts w:ascii="宋体" w:hAnsi="宋体" w:eastAsia="宋体" w:cs="宋体"/>
                <w:sz w:val="22"/>
              </w:rPr>
            </w:pPr>
          </w:p>
        </w:tc>
      </w:tr>
      <w:tr w14:paraId="611C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D2F8F59">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77A9F71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运输至最终目的运费及保险费等</w:t>
            </w:r>
          </w:p>
        </w:tc>
        <w:tc>
          <w:tcPr>
            <w:tcW w:w="1440" w:type="dxa"/>
            <w:tcBorders>
              <w:top w:val="single" w:color="auto" w:sz="4" w:space="0"/>
              <w:left w:val="single" w:color="auto" w:sz="4" w:space="0"/>
              <w:bottom w:val="single" w:color="auto" w:sz="4" w:space="0"/>
              <w:right w:val="single" w:color="auto" w:sz="4" w:space="0"/>
            </w:tcBorders>
            <w:noWrap/>
          </w:tcPr>
          <w:p w14:paraId="56B137B8">
            <w:pPr>
              <w:spacing w:line="440" w:lineRule="exact"/>
              <w:rPr>
                <w:rFonts w:ascii="宋体" w:hAnsi="宋体" w:eastAsia="宋体" w:cs="宋体"/>
                <w:sz w:val="22"/>
              </w:rPr>
            </w:pPr>
          </w:p>
        </w:tc>
      </w:tr>
      <w:tr w14:paraId="16208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393A3616">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3A7DE7CE">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其它</w:t>
            </w:r>
          </w:p>
        </w:tc>
        <w:tc>
          <w:tcPr>
            <w:tcW w:w="1440" w:type="dxa"/>
            <w:tcBorders>
              <w:top w:val="single" w:color="auto" w:sz="4" w:space="0"/>
              <w:left w:val="single" w:color="auto" w:sz="4" w:space="0"/>
              <w:bottom w:val="single" w:color="auto" w:sz="4" w:space="0"/>
              <w:right w:val="single" w:color="auto" w:sz="4" w:space="0"/>
            </w:tcBorders>
            <w:noWrap/>
          </w:tcPr>
          <w:p w14:paraId="56FADCB1">
            <w:pPr>
              <w:spacing w:line="440" w:lineRule="exact"/>
              <w:rPr>
                <w:rFonts w:ascii="宋体" w:hAnsi="宋体" w:eastAsia="宋体" w:cs="宋体"/>
                <w:sz w:val="22"/>
              </w:rPr>
            </w:pPr>
          </w:p>
        </w:tc>
      </w:tr>
      <w:tr w14:paraId="25079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8"/>
            <w:tcBorders>
              <w:top w:val="single" w:color="auto" w:sz="4" w:space="0"/>
              <w:left w:val="single" w:color="auto" w:sz="4" w:space="0"/>
              <w:bottom w:val="single" w:color="auto" w:sz="4" w:space="0"/>
              <w:right w:val="single" w:color="auto" w:sz="4" w:space="0"/>
            </w:tcBorders>
            <w:noWrap/>
          </w:tcPr>
          <w:p w14:paraId="03F1178B">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 xml:space="preserve">总价(人民币大写)：                             </w:t>
            </w:r>
          </w:p>
        </w:tc>
      </w:tr>
      <w:tr w14:paraId="75EDA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8"/>
            <w:tcBorders>
              <w:top w:val="single" w:color="auto" w:sz="4" w:space="0"/>
              <w:left w:val="single" w:color="auto" w:sz="4" w:space="0"/>
              <w:bottom w:val="single" w:color="auto" w:sz="4" w:space="0"/>
              <w:right w:val="single" w:color="auto" w:sz="4" w:space="0"/>
            </w:tcBorders>
            <w:noWrap/>
          </w:tcPr>
          <w:p w14:paraId="6DF6C306">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 xml:space="preserve">磋商响应报价：                           </w:t>
            </w:r>
          </w:p>
        </w:tc>
      </w:tr>
    </w:tbl>
    <w:p w14:paraId="013E3A4B">
      <w:pPr>
        <w:spacing w:line="520" w:lineRule="exact"/>
        <w:jc w:val="left"/>
        <w:outlineLvl w:val="0"/>
        <w:rPr>
          <w:rFonts w:ascii="宋体" w:hAnsi="宋体" w:eastAsia="宋体" w:cs="Times New Roman"/>
          <w:kern w:val="0"/>
          <w:sz w:val="24"/>
          <w:szCs w:val="24"/>
        </w:rPr>
      </w:pPr>
      <w:r>
        <w:rPr>
          <w:rFonts w:hint="eastAsia" w:ascii="宋体" w:hAnsi="宋体" w:eastAsia="宋体" w:cs="Times New Roman"/>
          <w:kern w:val="0"/>
          <w:sz w:val="24"/>
          <w:szCs w:val="24"/>
        </w:rPr>
        <w:t>注：1.所有价格以人民币表示。2.若总价与单价不符，以单价为准。3.选配/购项目不包括在本报价表内，应另附表说明（如有）。</w:t>
      </w:r>
    </w:p>
    <w:p w14:paraId="2772976C">
      <w:pPr>
        <w:rPr>
          <w:rFonts w:ascii="宋体" w:hAnsi="宋体" w:eastAsia="宋体" w:cs="Times New Roman"/>
          <w:szCs w:val="21"/>
        </w:rPr>
      </w:pPr>
    </w:p>
    <w:p w14:paraId="6D89205B">
      <w:pPr>
        <w:spacing w:line="480" w:lineRule="auto"/>
        <w:jc w:val="center"/>
        <w:rPr>
          <w:rFonts w:ascii="宋体" w:hAnsi="宋体" w:eastAsia="宋体" w:cs="Times New Roman"/>
          <w:sz w:val="24"/>
          <w:szCs w:val="21"/>
          <w:u w:val="single"/>
        </w:rPr>
      </w:pPr>
      <w:bookmarkStart w:id="15" w:name="_Toc395626672"/>
      <w:bookmarkStart w:id="16" w:name="_Toc10959"/>
      <w:bookmarkStart w:id="17" w:name="_Toc312141145"/>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65044447">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5210EEE6">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w:t>
      </w:r>
      <w:r>
        <w:rPr>
          <w:rFonts w:hint="eastAsia" w:ascii="宋体" w:hAnsi="宋体" w:eastAsia="宋体" w:cs="Times New Roman"/>
          <w:sz w:val="24"/>
          <w:szCs w:val="21"/>
          <w:lang w:val="en-US" w:eastAsia="zh-CN"/>
        </w:rPr>
        <w:t xml:space="preserve"> </w:t>
      </w:r>
      <w:r>
        <w:rPr>
          <w:rFonts w:ascii="宋体" w:hAnsi="宋体" w:eastAsia="宋体" w:cs="Times New Roman"/>
          <w:sz w:val="24"/>
          <w:szCs w:val="21"/>
        </w:rPr>
        <w:t>月</w:t>
      </w:r>
      <w:r>
        <w:rPr>
          <w:rFonts w:hint="eastAsia" w:ascii="宋体" w:hAnsi="宋体" w:eastAsia="宋体" w:cs="Times New Roman"/>
          <w:sz w:val="24"/>
          <w:szCs w:val="21"/>
        </w:rPr>
        <w:t xml:space="preserve">  日</w:t>
      </w:r>
    </w:p>
    <w:p w14:paraId="34B47893">
      <w:pPr>
        <w:spacing w:line="480" w:lineRule="auto"/>
        <w:jc w:val="center"/>
        <w:rPr>
          <w:rFonts w:ascii="宋体" w:hAnsi="宋体" w:eastAsia="宋体" w:cs="Times New Roman"/>
          <w:sz w:val="24"/>
          <w:szCs w:val="21"/>
        </w:rPr>
      </w:pPr>
    </w:p>
    <w:p w14:paraId="0657B156">
      <w:pPr>
        <w:keepNext/>
        <w:keepLines/>
        <w:spacing w:before="260" w:after="260" w:line="415" w:lineRule="auto"/>
        <w:jc w:val="left"/>
        <w:outlineLvl w:val="2"/>
        <w:rPr>
          <w:rFonts w:ascii="宋体" w:hAnsi="宋体" w:eastAsia="宋体" w:cs="宋体"/>
          <w:b/>
          <w:bCs/>
          <w:kern w:val="0"/>
          <w:szCs w:val="21"/>
        </w:rPr>
      </w:pPr>
      <w:r>
        <w:rPr>
          <w:rFonts w:hint="eastAsia" w:ascii="宋体" w:hAnsi="宋体" w:eastAsia="宋体" w:cs="宋体"/>
          <w:b/>
          <w:bCs/>
          <w:kern w:val="0"/>
          <w:szCs w:val="21"/>
        </w:rPr>
        <w:t>附件2：</w:t>
      </w:r>
    </w:p>
    <w:bookmarkEnd w:id="15"/>
    <w:bookmarkEnd w:id="16"/>
    <w:bookmarkEnd w:id="17"/>
    <w:p w14:paraId="6D17D205">
      <w:pPr>
        <w:spacing w:afterLines="100" w:line="520" w:lineRule="exact"/>
        <w:jc w:val="center"/>
        <w:rPr>
          <w:rFonts w:ascii="宋体" w:hAnsi="宋体" w:eastAsia="宋体" w:cs="Times New Roman"/>
          <w:b/>
          <w:sz w:val="24"/>
          <w:szCs w:val="21"/>
        </w:rPr>
      </w:pPr>
      <w:r>
        <w:rPr>
          <w:rFonts w:hint="eastAsia" w:ascii="宋体" w:hAnsi="宋体" w:eastAsia="宋体" w:cs="Times New Roman"/>
          <w:b/>
          <w:bCs/>
          <w:sz w:val="24"/>
          <w:szCs w:val="21"/>
        </w:rPr>
        <w:t>技术参数偏离表</w:t>
      </w:r>
      <w:r>
        <w:rPr>
          <w:rFonts w:hint="eastAsia" w:ascii="宋体" w:hAnsi="宋体" w:eastAsia="宋体" w:cs="Times New Roman"/>
          <w:sz w:val="24"/>
          <w:szCs w:val="21"/>
        </w:rPr>
        <w:t>（格式）</w:t>
      </w:r>
    </w:p>
    <w:p w14:paraId="11E24CF3">
      <w:pPr>
        <w:snapToGrid w:val="0"/>
        <w:spacing w:line="520" w:lineRule="exact"/>
        <w:rPr>
          <w:rFonts w:ascii="宋体" w:hAnsi="宋体" w:eastAsia="宋体" w:cs="Times New Roman"/>
          <w:sz w:val="24"/>
          <w:szCs w:val="24"/>
        </w:rPr>
      </w:pPr>
      <w:r>
        <w:rPr>
          <w:rFonts w:hint="eastAsia" w:ascii="宋体" w:hAnsi="宋体" w:eastAsia="宋体" w:cs="Times New Roman"/>
          <w:sz w:val="24"/>
          <w:szCs w:val="24"/>
        </w:rPr>
        <w:t>磋商响应供应商名称：</w:t>
      </w:r>
    </w:p>
    <w:p w14:paraId="3844705A">
      <w:pPr>
        <w:snapToGrid w:val="0"/>
        <w:spacing w:line="520" w:lineRule="exact"/>
        <w:rPr>
          <w:rFonts w:ascii="宋体" w:hAnsi="宋体" w:eastAsia="宋体" w:cs="Times New Roman"/>
          <w:sz w:val="24"/>
          <w:szCs w:val="24"/>
          <w:u w:val="single"/>
        </w:rPr>
      </w:pPr>
      <w:r>
        <w:rPr>
          <w:rFonts w:hint="eastAsia" w:ascii="宋体" w:hAnsi="宋体" w:eastAsia="宋体" w:cs="Times New Roman"/>
          <w:sz w:val="24"/>
          <w:szCs w:val="24"/>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4A8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086E08D">
            <w:pPr>
              <w:spacing w:line="480" w:lineRule="exact"/>
              <w:jc w:val="center"/>
              <w:rPr>
                <w:rFonts w:ascii="宋体" w:hAnsi="宋体" w:eastAsia="宋体" w:cs="Times New Roman"/>
                <w:bCs/>
                <w:sz w:val="22"/>
              </w:rPr>
            </w:pPr>
            <w:r>
              <w:rPr>
                <w:rFonts w:hint="eastAsia" w:ascii="宋体" w:hAnsi="宋体" w:eastAsia="宋体" w:cs="Times New Roman"/>
                <w:bCs/>
                <w:sz w:val="22"/>
              </w:rPr>
              <w:t>序号</w:t>
            </w:r>
          </w:p>
        </w:tc>
        <w:tc>
          <w:tcPr>
            <w:tcW w:w="1282" w:type="dxa"/>
            <w:noWrap/>
          </w:tcPr>
          <w:p w14:paraId="3EC83F88">
            <w:pPr>
              <w:spacing w:line="480" w:lineRule="exact"/>
              <w:jc w:val="center"/>
              <w:rPr>
                <w:rFonts w:ascii="宋体" w:hAnsi="宋体" w:eastAsia="宋体" w:cs="Times New Roman"/>
                <w:bCs/>
                <w:sz w:val="22"/>
              </w:rPr>
            </w:pPr>
            <w:r>
              <w:rPr>
                <w:rFonts w:hint="eastAsia" w:ascii="宋体" w:hAnsi="宋体" w:eastAsia="宋体" w:cs="Times New Roman"/>
                <w:bCs/>
                <w:sz w:val="22"/>
              </w:rPr>
              <w:t>货物名称</w:t>
            </w:r>
          </w:p>
        </w:tc>
        <w:tc>
          <w:tcPr>
            <w:tcW w:w="2078" w:type="dxa"/>
            <w:noWrap/>
          </w:tcPr>
          <w:p w14:paraId="017CC871">
            <w:pPr>
              <w:spacing w:line="480" w:lineRule="exact"/>
              <w:jc w:val="center"/>
              <w:rPr>
                <w:rFonts w:ascii="宋体" w:hAnsi="宋体" w:eastAsia="宋体" w:cs="Times New Roman"/>
                <w:bCs/>
                <w:sz w:val="22"/>
              </w:rPr>
            </w:pPr>
            <w:r>
              <w:rPr>
                <w:rFonts w:hint="eastAsia" w:ascii="宋体" w:hAnsi="宋体" w:eastAsia="宋体" w:cs="Times New Roman"/>
                <w:bCs/>
                <w:sz w:val="22"/>
              </w:rPr>
              <w:t>磋商技术参数</w:t>
            </w:r>
          </w:p>
          <w:p w14:paraId="4B2B9DD3">
            <w:pPr>
              <w:spacing w:line="480" w:lineRule="exact"/>
              <w:jc w:val="center"/>
              <w:rPr>
                <w:rFonts w:ascii="宋体" w:hAnsi="宋体" w:eastAsia="宋体" w:cs="Times New Roman"/>
                <w:bCs/>
                <w:sz w:val="22"/>
              </w:rPr>
            </w:pPr>
            <w:r>
              <w:rPr>
                <w:rFonts w:hint="eastAsia" w:ascii="宋体" w:hAnsi="宋体" w:eastAsia="宋体" w:cs="Times New Roman"/>
                <w:bCs/>
                <w:sz w:val="22"/>
              </w:rPr>
              <w:t>要求</w:t>
            </w:r>
          </w:p>
        </w:tc>
        <w:tc>
          <w:tcPr>
            <w:tcW w:w="1891" w:type="dxa"/>
            <w:noWrap/>
          </w:tcPr>
          <w:p w14:paraId="56023F4A">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磋商响应品牌和型号</w:t>
            </w:r>
          </w:p>
        </w:tc>
        <w:tc>
          <w:tcPr>
            <w:tcW w:w="1973" w:type="dxa"/>
            <w:noWrap/>
          </w:tcPr>
          <w:p w14:paraId="4B6C71E5">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磋商响应产品</w:t>
            </w:r>
          </w:p>
          <w:p w14:paraId="3BAA3B72">
            <w:pPr>
              <w:spacing w:line="480" w:lineRule="exact"/>
              <w:jc w:val="center"/>
              <w:rPr>
                <w:rFonts w:ascii="宋体" w:hAnsi="宋体" w:eastAsia="宋体" w:cs="Times New Roman"/>
                <w:bCs/>
                <w:sz w:val="22"/>
              </w:rPr>
            </w:pPr>
            <w:r>
              <w:rPr>
                <w:rFonts w:hint="eastAsia" w:ascii="宋体" w:hAnsi="宋体" w:eastAsia="宋体" w:cs="Times New Roman"/>
                <w:bCs/>
                <w:sz w:val="22"/>
              </w:rPr>
              <w:t>技术参数</w:t>
            </w:r>
          </w:p>
        </w:tc>
        <w:tc>
          <w:tcPr>
            <w:tcW w:w="1252" w:type="dxa"/>
            <w:noWrap/>
          </w:tcPr>
          <w:p w14:paraId="0626486F">
            <w:pPr>
              <w:spacing w:line="480" w:lineRule="exact"/>
              <w:jc w:val="center"/>
              <w:rPr>
                <w:rFonts w:ascii="宋体" w:hAnsi="宋体" w:eastAsia="宋体" w:cs="Times New Roman"/>
                <w:bCs/>
                <w:sz w:val="22"/>
              </w:rPr>
            </w:pPr>
            <w:r>
              <w:rPr>
                <w:rFonts w:hint="eastAsia" w:ascii="宋体" w:hAnsi="宋体" w:eastAsia="宋体" w:cs="Times New Roman"/>
                <w:bCs/>
                <w:sz w:val="22"/>
              </w:rPr>
              <w:t>偏离说明</w:t>
            </w:r>
          </w:p>
        </w:tc>
      </w:tr>
      <w:tr w14:paraId="2ABF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EDB80C">
            <w:pPr>
              <w:spacing w:line="480" w:lineRule="exact"/>
              <w:rPr>
                <w:rFonts w:ascii="宋体" w:hAnsi="宋体" w:eastAsia="宋体" w:cs="Times New Roman"/>
                <w:bCs/>
                <w:sz w:val="22"/>
              </w:rPr>
            </w:pPr>
          </w:p>
        </w:tc>
        <w:tc>
          <w:tcPr>
            <w:tcW w:w="1282" w:type="dxa"/>
            <w:noWrap/>
          </w:tcPr>
          <w:p w14:paraId="7F0D8AD7">
            <w:pPr>
              <w:spacing w:line="480" w:lineRule="exact"/>
              <w:rPr>
                <w:rFonts w:ascii="宋体" w:hAnsi="宋体" w:eastAsia="宋体" w:cs="Times New Roman"/>
                <w:bCs/>
                <w:sz w:val="22"/>
              </w:rPr>
            </w:pPr>
          </w:p>
        </w:tc>
        <w:tc>
          <w:tcPr>
            <w:tcW w:w="2078" w:type="dxa"/>
            <w:noWrap/>
          </w:tcPr>
          <w:p w14:paraId="3AB54FBC">
            <w:pPr>
              <w:spacing w:line="480" w:lineRule="exact"/>
              <w:rPr>
                <w:rFonts w:ascii="宋体" w:hAnsi="宋体" w:eastAsia="宋体" w:cs="Times New Roman"/>
                <w:bCs/>
                <w:sz w:val="22"/>
              </w:rPr>
            </w:pPr>
          </w:p>
        </w:tc>
        <w:tc>
          <w:tcPr>
            <w:tcW w:w="1891" w:type="dxa"/>
            <w:noWrap/>
          </w:tcPr>
          <w:p w14:paraId="280576B3">
            <w:pPr>
              <w:spacing w:line="480" w:lineRule="exact"/>
              <w:rPr>
                <w:rFonts w:ascii="宋体" w:hAnsi="宋体" w:eastAsia="宋体" w:cs="Times New Roman"/>
                <w:bCs/>
                <w:sz w:val="22"/>
              </w:rPr>
            </w:pPr>
          </w:p>
        </w:tc>
        <w:tc>
          <w:tcPr>
            <w:tcW w:w="1973" w:type="dxa"/>
            <w:noWrap/>
          </w:tcPr>
          <w:p w14:paraId="488A86D5">
            <w:pPr>
              <w:spacing w:line="480" w:lineRule="exact"/>
              <w:rPr>
                <w:rFonts w:ascii="宋体" w:hAnsi="宋体" w:eastAsia="宋体" w:cs="Times New Roman"/>
                <w:bCs/>
                <w:sz w:val="22"/>
              </w:rPr>
            </w:pPr>
          </w:p>
        </w:tc>
        <w:tc>
          <w:tcPr>
            <w:tcW w:w="1252" w:type="dxa"/>
            <w:noWrap/>
          </w:tcPr>
          <w:p w14:paraId="2F89E13A">
            <w:pPr>
              <w:spacing w:line="480" w:lineRule="exact"/>
              <w:rPr>
                <w:rFonts w:ascii="宋体" w:hAnsi="宋体" w:eastAsia="宋体" w:cs="Times New Roman"/>
                <w:bCs/>
                <w:sz w:val="22"/>
              </w:rPr>
            </w:pPr>
          </w:p>
        </w:tc>
      </w:tr>
      <w:tr w14:paraId="5A0A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CE1EBC">
            <w:pPr>
              <w:spacing w:line="480" w:lineRule="exact"/>
              <w:rPr>
                <w:rFonts w:ascii="宋体" w:hAnsi="宋体" w:eastAsia="宋体" w:cs="Times New Roman"/>
                <w:bCs/>
                <w:sz w:val="22"/>
              </w:rPr>
            </w:pPr>
          </w:p>
        </w:tc>
        <w:tc>
          <w:tcPr>
            <w:tcW w:w="1282" w:type="dxa"/>
            <w:noWrap/>
          </w:tcPr>
          <w:p w14:paraId="1F35B082">
            <w:pPr>
              <w:spacing w:line="480" w:lineRule="exact"/>
              <w:rPr>
                <w:rFonts w:ascii="宋体" w:hAnsi="宋体" w:eastAsia="宋体" w:cs="Times New Roman"/>
                <w:bCs/>
                <w:sz w:val="22"/>
              </w:rPr>
            </w:pPr>
          </w:p>
        </w:tc>
        <w:tc>
          <w:tcPr>
            <w:tcW w:w="2078" w:type="dxa"/>
            <w:noWrap/>
          </w:tcPr>
          <w:p w14:paraId="3B55BC76">
            <w:pPr>
              <w:spacing w:line="480" w:lineRule="exact"/>
              <w:rPr>
                <w:rFonts w:ascii="宋体" w:hAnsi="宋体" w:eastAsia="宋体" w:cs="Times New Roman"/>
                <w:bCs/>
                <w:sz w:val="22"/>
              </w:rPr>
            </w:pPr>
          </w:p>
        </w:tc>
        <w:tc>
          <w:tcPr>
            <w:tcW w:w="1891" w:type="dxa"/>
            <w:noWrap/>
          </w:tcPr>
          <w:p w14:paraId="3D900ECC">
            <w:pPr>
              <w:spacing w:line="480" w:lineRule="exact"/>
              <w:rPr>
                <w:rFonts w:ascii="宋体" w:hAnsi="宋体" w:eastAsia="宋体" w:cs="Times New Roman"/>
                <w:bCs/>
                <w:sz w:val="22"/>
              </w:rPr>
            </w:pPr>
          </w:p>
        </w:tc>
        <w:tc>
          <w:tcPr>
            <w:tcW w:w="1973" w:type="dxa"/>
            <w:noWrap/>
          </w:tcPr>
          <w:p w14:paraId="03209EC8">
            <w:pPr>
              <w:spacing w:line="480" w:lineRule="exact"/>
              <w:rPr>
                <w:rFonts w:ascii="宋体" w:hAnsi="宋体" w:eastAsia="宋体" w:cs="Times New Roman"/>
                <w:bCs/>
                <w:sz w:val="22"/>
              </w:rPr>
            </w:pPr>
          </w:p>
        </w:tc>
        <w:tc>
          <w:tcPr>
            <w:tcW w:w="1252" w:type="dxa"/>
            <w:noWrap/>
          </w:tcPr>
          <w:p w14:paraId="1D1BDA19">
            <w:pPr>
              <w:spacing w:line="480" w:lineRule="exact"/>
              <w:rPr>
                <w:rFonts w:ascii="宋体" w:hAnsi="宋体" w:eastAsia="宋体" w:cs="Times New Roman"/>
                <w:bCs/>
                <w:sz w:val="22"/>
              </w:rPr>
            </w:pPr>
          </w:p>
        </w:tc>
      </w:tr>
      <w:tr w14:paraId="7B8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2D590FE7">
            <w:pPr>
              <w:spacing w:line="480" w:lineRule="exact"/>
              <w:rPr>
                <w:rFonts w:ascii="宋体" w:hAnsi="宋体" w:eastAsia="宋体" w:cs="Times New Roman"/>
                <w:bCs/>
                <w:sz w:val="22"/>
              </w:rPr>
            </w:pPr>
          </w:p>
        </w:tc>
        <w:tc>
          <w:tcPr>
            <w:tcW w:w="1282" w:type="dxa"/>
            <w:noWrap/>
          </w:tcPr>
          <w:p w14:paraId="7870A803">
            <w:pPr>
              <w:spacing w:line="480" w:lineRule="exact"/>
              <w:rPr>
                <w:rFonts w:ascii="宋体" w:hAnsi="宋体" w:eastAsia="宋体" w:cs="Times New Roman"/>
                <w:bCs/>
                <w:sz w:val="22"/>
              </w:rPr>
            </w:pPr>
          </w:p>
        </w:tc>
        <w:tc>
          <w:tcPr>
            <w:tcW w:w="2078" w:type="dxa"/>
            <w:noWrap/>
          </w:tcPr>
          <w:p w14:paraId="25E96A94">
            <w:pPr>
              <w:spacing w:line="480" w:lineRule="exact"/>
              <w:rPr>
                <w:rFonts w:ascii="宋体" w:hAnsi="宋体" w:eastAsia="宋体" w:cs="Times New Roman"/>
                <w:bCs/>
                <w:sz w:val="22"/>
              </w:rPr>
            </w:pPr>
          </w:p>
        </w:tc>
        <w:tc>
          <w:tcPr>
            <w:tcW w:w="1891" w:type="dxa"/>
            <w:noWrap/>
          </w:tcPr>
          <w:p w14:paraId="1E802AE5">
            <w:pPr>
              <w:spacing w:line="480" w:lineRule="exact"/>
              <w:rPr>
                <w:rFonts w:ascii="宋体" w:hAnsi="宋体" w:eastAsia="宋体" w:cs="Times New Roman"/>
                <w:bCs/>
                <w:sz w:val="22"/>
              </w:rPr>
            </w:pPr>
          </w:p>
        </w:tc>
        <w:tc>
          <w:tcPr>
            <w:tcW w:w="1973" w:type="dxa"/>
            <w:noWrap/>
          </w:tcPr>
          <w:p w14:paraId="2FBEF8F2">
            <w:pPr>
              <w:spacing w:line="480" w:lineRule="exact"/>
              <w:rPr>
                <w:rFonts w:ascii="宋体" w:hAnsi="宋体" w:eastAsia="宋体" w:cs="Times New Roman"/>
                <w:bCs/>
                <w:sz w:val="22"/>
              </w:rPr>
            </w:pPr>
          </w:p>
        </w:tc>
        <w:tc>
          <w:tcPr>
            <w:tcW w:w="1252" w:type="dxa"/>
            <w:noWrap/>
          </w:tcPr>
          <w:p w14:paraId="62A8543F">
            <w:pPr>
              <w:spacing w:line="480" w:lineRule="exact"/>
              <w:rPr>
                <w:rFonts w:ascii="宋体" w:hAnsi="宋体" w:eastAsia="宋体" w:cs="Times New Roman"/>
                <w:bCs/>
                <w:sz w:val="22"/>
              </w:rPr>
            </w:pPr>
          </w:p>
        </w:tc>
      </w:tr>
      <w:tr w14:paraId="470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A36D259">
            <w:pPr>
              <w:spacing w:line="480" w:lineRule="exact"/>
              <w:rPr>
                <w:rFonts w:ascii="宋体" w:hAnsi="宋体" w:eastAsia="宋体" w:cs="Times New Roman"/>
                <w:bCs/>
                <w:sz w:val="22"/>
              </w:rPr>
            </w:pPr>
          </w:p>
        </w:tc>
        <w:tc>
          <w:tcPr>
            <w:tcW w:w="1282" w:type="dxa"/>
            <w:noWrap/>
          </w:tcPr>
          <w:p w14:paraId="0E572970">
            <w:pPr>
              <w:spacing w:line="480" w:lineRule="exact"/>
              <w:rPr>
                <w:rFonts w:ascii="宋体" w:hAnsi="宋体" w:eastAsia="宋体" w:cs="Times New Roman"/>
                <w:bCs/>
                <w:sz w:val="22"/>
              </w:rPr>
            </w:pPr>
          </w:p>
        </w:tc>
        <w:tc>
          <w:tcPr>
            <w:tcW w:w="2078" w:type="dxa"/>
            <w:noWrap/>
          </w:tcPr>
          <w:p w14:paraId="14A8BAEE">
            <w:pPr>
              <w:spacing w:line="480" w:lineRule="exact"/>
              <w:rPr>
                <w:rFonts w:ascii="宋体" w:hAnsi="宋体" w:eastAsia="宋体" w:cs="Times New Roman"/>
                <w:bCs/>
                <w:sz w:val="22"/>
              </w:rPr>
            </w:pPr>
          </w:p>
        </w:tc>
        <w:tc>
          <w:tcPr>
            <w:tcW w:w="1891" w:type="dxa"/>
            <w:noWrap/>
          </w:tcPr>
          <w:p w14:paraId="4FB083DF">
            <w:pPr>
              <w:spacing w:line="480" w:lineRule="exact"/>
              <w:rPr>
                <w:rFonts w:ascii="宋体" w:hAnsi="宋体" w:eastAsia="宋体" w:cs="Times New Roman"/>
                <w:bCs/>
                <w:sz w:val="22"/>
              </w:rPr>
            </w:pPr>
          </w:p>
        </w:tc>
        <w:tc>
          <w:tcPr>
            <w:tcW w:w="1973" w:type="dxa"/>
            <w:noWrap/>
          </w:tcPr>
          <w:p w14:paraId="70B08250">
            <w:pPr>
              <w:spacing w:line="480" w:lineRule="exact"/>
              <w:rPr>
                <w:rFonts w:ascii="宋体" w:hAnsi="宋体" w:eastAsia="宋体" w:cs="Times New Roman"/>
                <w:bCs/>
                <w:sz w:val="22"/>
              </w:rPr>
            </w:pPr>
          </w:p>
        </w:tc>
        <w:tc>
          <w:tcPr>
            <w:tcW w:w="1252" w:type="dxa"/>
            <w:noWrap/>
          </w:tcPr>
          <w:p w14:paraId="55475820">
            <w:pPr>
              <w:spacing w:line="480" w:lineRule="exact"/>
              <w:rPr>
                <w:rFonts w:ascii="宋体" w:hAnsi="宋体" w:eastAsia="宋体" w:cs="Times New Roman"/>
                <w:bCs/>
                <w:sz w:val="22"/>
              </w:rPr>
            </w:pPr>
          </w:p>
        </w:tc>
      </w:tr>
      <w:tr w14:paraId="301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66BDC94">
            <w:pPr>
              <w:spacing w:line="480" w:lineRule="exact"/>
              <w:rPr>
                <w:rFonts w:ascii="宋体" w:hAnsi="宋体" w:eastAsia="宋体" w:cs="Times New Roman"/>
                <w:bCs/>
                <w:sz w:val="22"/>
              </w:rPr>
            </w:pPr>
          </w:p>
        </w:tc>
        <w:tc>
          <w:tcPr>
            <w:tcW w:w="1282" w:type="dxa"/>
            <w:noWrap/>
          </w:tcPr>
          <w:p w14:paraId="5C732C4E">
            <w:pPr>
              <w:spacing w:line="480" w:lineRule="exact"/>
              <w:rPr>
                <w:rFonts w:ascii="宋体" w:hAnsi="宋体" w:eastAsia="宋体" w:cs="Times New Roman"/>
                <w:bCs/>
                <w:sz w:val="22"/>
              </w:rPr>
            </w:pPr>
          </w:p>
        </w:tc>
        <w:tc>
          <w:tcPr>
            <w:tcW w:w="2078" w:type="dxa"/>
            <w:noWrap/>
          </w:tcPr>
          <w:p w14:paraId="27625A58">
            <w:pPr>
              <w:spacing w:line="480" w:lineRule="exact"/>
              <w:rPr>
                <w:rFonts w:ascii="宋体" w:hAnsi="宋体" w:eastAsia="宋体" w:cs="Times New Roman"/>
                <w:bCs/>
                <w:sz w:val="22"/>
              </w:rPr>
            </w:pPr>
          </w:p>
        </w:tc>
        <w:tc>
          <w:tcPr>
            <w:tcW w:w="1891" w:type="dxa"/>
            <w:noWrap/>
          </w:tcPr>
          <w:p w14:paraId="5935477F">
            <w:pPr>
              <w:spacing w:line="480" w:lineRule="exact"/>
              <w:rPr>
                <w:rFonts w:ascii="宋体" w:hAnsi="宋体" w:eastAsia="宋体" w:cs="Times New Roman"/>
                <w:bCs/>
                <w:sz w:val="22"/>
              </w:rPr>
            </w:pPr>
          </w:p>
        </w:tc>
        <w:tc>
          <w:tcPr>
            <w:tcW w:w="1973" w:type="dxa"/>
            <w:noWrap/>
          </w:tcPr>
          <w:p w14:paraId="1CB44058">
            <w:pPr>
              <w:spacing w:line="480" w:lineRule="exact"/>
              <w:rPr>
                <w:rFonts w:ascii="宋体" w:hAnsi="宋体" w:eastAsia="宋体" w:cs="Times New Roman"/>
                <w:bCs/>
                <w:sz w:val="22"/>
              </w:rPr>
            </w:pPr>
          </w:p>
        </w:tc>
        <w:tc>
          <w:tcPr>
            <w:tcW w:w="1252" w:type="dxa"/>
            <w:noWrap/>
          </w:tcPr>
          <w:p w14:paraId="26DB5B81">
            <w:pPr>
              <w:spacing w:line="480" w:lineRule="exact"/>
              <w:rPr>
                <w:rFonts w:ascii="宋体" w:hAnsi="宋体" w:eastAsia="宋体" w:cs="Times New Roman"/>
                <w:bCs/>
                <w:sz w:val="22"/>
              </w:rPr>
            </w:pPr>
          </w:p>
        </w:tc>
      </w:tr>
      <w:tr w14:paraId="48E4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926A2DE">
            <w:pPr>
              <w:spacing w:line="480" w:lineRule="exact"/>
              <w:rPr>
                <w:rFonts w:ascii="宋体" w:hAnsi="宋体" w:eastAsia="宋体" w:cs="Times New Roman"/>
                <w:bCs/>
                <w:sz w:val="22"/>
              </w:rPr>
            </w:pPr>
          </w:p>
        </w:tc>
        <w:tc>
          <w:tcPr>
            <w:tcW w:w="1282" w:type="dxa"/>
            <w:noWrap/>
          </w:tcPr>
          <w:p w14:paraId="29C676FF">
            <w:pPr>
              <w:spacing w:line="480" w:lineRule="exact"/>
              <w:rPr>
                <w:rFonts w:ascii="宋体" w:hAnsi="宋体" w:eastAsia="宋体" w:cs="Times New Roman"/>
                <w:bCs/>
                <w:sz w:val="22"/>
              </w:rPr>
            </w:pPr>
          </w:p>
        </w:tc>
        <w:tc>
          <w:tcPr>
            <w:tcW w:w="2078" w:type="dxa"/>
            <w:noWrap/>
          </w:tcPr>
          <w:p w14:paraId="6E366428">
            <w:pPr>
              <w:spacing w:line="480" w:lineRule="exact"/>
              <w:rPr>
                <w:rFonts w:ascii="宋体" w:hAnsi="宋体" w:eastAsia="宋体" w:cs="Times New Roman"/>
                <w:bCs/>
                <w:sz w:val="22"/>
              </w:rPr>
            </w:pPr>
          </w:p>
        </w:tc>
        <w:tc>
          <w:tcPr>
            <w:tcW w:w="1891" w:type="dxa"/>
            <w:noWrap/>
          </w:tcPr>
          <w:p w14:paraId="6448D2DD">
            <w:pPr>
              <w:spacing w:line="480" w:lineRule="exact"/>
              <w:rPr>
                <w:rFonts w:ascii="宋体" w:hAnsi="宋体" w:eastAsia="宋体" w:cs="Times New Roman"/>
                <w:bCs/>
                <w:sz w:val="22"/>
              </w:rPr>
            </w:pPr>
          </w:p>
        </w:tc>
        <w:tc>
          <w:tcPr>
            <w:tcW w:w="1973" w:type="dxa"/>
            <w:noWrap/>
          </w:tcPr>
          <w:p w14:paraId="2840E804">
            <w:pPr>
              <w:spacing w:line="480" w:lineRule="exact"/>
              <w:rPr>
                <w:rFonts w:ascii="宋体" w:hAnsi="宋体" w:eastAsia="宋体" w:cs="Times New Roman"/>
                <w:bCs/>
                <w:sz w:val="22"/>
              </w:rPr>
            </w:pPr>
          </w:p>
        </w:tc>
        <w:tc>
          <w:tcPr>
            <w:tcW w:w="1252" w:type="dxa"/>
            <w:noWrap/>
          </w:tcPr>
          <w:p w14:paraId="708978CA">
            <w:pPr>
              <w:spacing w:line="480" w:lineRule="exact"/>
              <w:rPr>
                <w:rFonts w:ascii="宋体" w:hAnsi="宋体" w:eastAsia="宋体" w:cs="Times New Roman"/>
                <w:bCs/>
                <w:sz w:val="22"/>
              </w:rPr>
            </w:pPr>
          </w:p>
        </w:tc>
      </w:tr>
      <w:tr w14:paraId="4DC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E6FC8D7">
            <w:pPr>
              <w:spacing w:line="480" w:lineRule="exact"/>
              <w:rPr>
                <w:rFonts w:ascii="宋体" w:hAnsi="宋体" w:eastAsia="宋体" w:cs="Times New Roman"/>
                <w:bCs/>
                <w:sz w:val="22"/>
              </w:rPr>
            </w:pPr>
          </w:p>
        </w:tc>
        <w:tc>
          <w:tcPr>
            <w:tcW w:w="1282" w:type="dxa"/>
            <w:noWrap/>
          </w:tcPr>
          <w:p w14:paraId="7E56274C">
            <w:pPr>
              <w:spacing w:line="480" w:lineRule="exact"/>
              <w:rPr>
                <w:rFonts w:ascii="宋体" w:hAnsi="宋体" w:eastAsia="宋体" w:cs="Times New Roman"/>
                <w:bCs/>
                <w:sz w:val="22"/>
              </w:rPr>
            </w:pPr>
          </w:p>
        </w:tc>
        <w:tc>
          <w:tcPr>
            <w:tcW w:w="2078" w:type="dxa"/>
            <w:noWrap/>
          </w:tcPr>
          <w:p w14:paraId="10996EBD">
            <w:pPr>
              <w:spacing w:line="480" w:lineRule="exact"/>
              <w:rPr>
                <w:rFonts w:ascii="宋体" w:hAnsi="宋体" w:eastAsia="宋体" w:cs="Times New Roman"/>
                <w:bCs/>
                <w:sz w:val="22"/>
              </w:rPr>
            </w:pPr>
          </w:p>
        </w:tc>
        <w:tc>
          <w:tcPr>
            <w:tcW w:w="1891" w:type="dxa"/>
            <w:noWrap/>
          </w:tcPr>
          <w:p w14:paraId="1ABF0EAC">
            <w:pPr>
              <w:spacing w:line="480" w:lineRule="exact"/>
              <w:rPr>
                <w:rFonts w:ascii="宋体" w:hAnsi="宋体" w:eastAsia="宋体" w:cs="Times New Roman"/>
                <w:bCs/>
                <w:sz w:val="22"/>
              </w:rPr>
            </w:pPr>
          </w:p>
        </w:tc>
        <w:tc>
          <w:tcPr>
            <w:tcW w:w="1973" w:type="dxa"/>
            <w:noWrap/>
          </w:tcPr>
          <w:p w14:paraId="16272E5B">
            <w:pPr>
              <w:spacing w:line="480" w:lineRule="exact"/>
              <w:rPr>
                <w:rFonts w:ascii="宋体" w:hAnsi="宋体" w:eastAsia="宋体" w:cs="Times New Roman"/>
                <w:bCs/>
                <w:sz w:val="22"/>
              </w:rPr>
            </w:pPr>
          </w:p>
        </w:tc>
        <w:tc>
          <w:tcPr>
            <w:tcW w:w="1252" w:type="dxa"/>
            <w:noWrap/>
          </w:tcPr>
          <w:p w14:paraId="59BD4674">
            <w:pPr>
              <w:spacing w:line="480" w:lineRule="exact"/>
              <w:rPr>
                <w:rFonts w:ascii="宋体" w:hAnsi="宋体" w:eastAsia="宋体" w:cs="Times New Roman"/>
                <w:bCs/>
                <w:sz w:val="22"/>
              </w:rPr>
            </w:pPr>
          </w:p>
        </w:tc>
      </w:tr>
      <w:tr w14:paraId="674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7507D1B">
            <w:pPr>
              <w:spacing w:line="480" w:lineRule="exact"/>
              <w:rPr>
                <w:rFonts w:ascii="宋体" w:hAnsi="宋体" w:eastAsia="宋体" w:cs="Times New Roman"/>
                <w:bCs/>
                <w:sz w:val="22"/>
              </w:rPr>
            </w:pPr>
          </w:p>
        </w:tc>
        <w:tc>
          <w:tcPr>
            <w:tcW w:w="1282" w:type="dxa"/>
            <w:noWrap/>
          </w:tcPr>
          <w:p w14:paraId="23A9A837">
            <w:pPr>
              <w:spacing w:line="480" w:lineRule="exact"/>
              <w:rPr>
                <w:rFonts w:ascii="宋体" w:hAnsi="宋体" w:eastAsia="宋体" w:cs="Times New Roman"/>
                <w:bCs/>
                <w:sz w:val="22"/>
              </w:rPr>
            </w:pPr>
          </w:p>
        </w:tc>
        <w:tc>
          <w:tcPr>
            <w:tcW w:w="2078" w:type="dxa"/>
            <w:noWrap/>
          </w:tcPr>
          <w:p w14:paraId="5BA7B93A">
            <w:pPr>
              <w:spacing w:line="480" w:lineRule="exact"/>
              <w:rPr>
                <w:rFonts w:ascii="宋体" w:hAnsi="宋体" w:eastAsia="宋体" w:cs="Times New Roman"/>
                <w:bCs/>
                <w:sz w:val="22"/>
              </w:rPr>
            </w:pPr>
          </w:p>
        </w:tc>
        <w:tc>
          <w:tcPr>
            <w:tcW w:w="1891" w:type="dxa"/>
            <w:noWrap/>
          </w:tcPr>
          <w:p w14:paraId="2DFC6B73">
            <w:pPr>
              <w:spacing w:line="480" w:lineRule="exact"/>
              <w:rPr>
                <w:rFonts w:ascii="宋体" w:hAnsi="宋体" w:eastAsia="宋体" w:cs="Times New Roman"/>
                <w:bCs/>
                <w:sz w:val="22"/>
              </w:rPr>
            </w:pPr>
          </w:p>
        </w:tc>
        <w:tc>
          <w:tcPr>
            <w:tcW w:w="1973" w:type="dxa"/>
            <w:noWrap/>
          </w:tcPr>
          <w:p w14:paraId="2D7FF4BD">
            <w:pPr>
              <w:spacing w:line="480" w:lineRule="exact"/>
              <w:rPr>
                <w:rFonts w:ascii="宋体" w:hAnsi="宋体" w:eastAsia="宋体" w:cs="Times New Roman"/>
                <w:bCs/>
                <w:sz w:val="22"/>
              </w:rPr>
            </w:pPr>
          </w:p>
        </w:tc>
        <w:tc>
          <w:tcPr>
            <w:tcW w:w="1252" w:type="dxa"/>
            <w:noWrap/>
          </w:tcPr>
          <w:p w14:paraId="72A83284">
            <w:pPr>
              <w:spacing w:line="480" w:lineRule="exact"/>
              <w:rPr>
                <w:rFonts w:ascii="宋体" w:hAnsi="宋体" w:eastAsia="宋体" w:cs="Times New Roman"/>
                <w:bCs/>
                <w:sz w:val="22"/>
              </w:rPr>
            </w:pPr>
          </w:p>
        </w:tc>
      </w:tr>
      <w:tr w14:paraId="0C9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5FBD473">
            <w:pPr>
              <w:spacing w:line="480" w:lineRule="exact"/>
              <w:rPr>
                <w:rFonts w:ascii="宋体" w:hAnsi="宋体" w:eastAsia="宋体" w:cs="Times New Roman"/>
                <w:bCs/>
                <w:sz w:val="22"/>
              </w:rPr>
            </w:pPr>
          </w:p>
        </w:tc>
        <w:tc>
          <w:tcPr>
            <w:tcW w:w="1282" w:type="dxa"/>
            <w:noWrap/>
          </w:tcPr>
          <w:p w14:paraId="525A3A3E">
            <w:pPr>
              <w:spacing w:line="480" w:lineRule="exact"/>
              <w:rPr>
                <w:rFonts w:ascii="宋体" w:hAnsi="宋体" w:eastAsia="宋体" w:cs="Times New Roman"/>
                <w:bCs/>
                <w:sz w:val="22"/>
              </w:rPr>
            </w:pPr>
          </w:p>
        </w:tc>
        <w:tc>
          <w:tcPr>
            <w:tcW w:w="2078" w:type="dxa"/>
            <w:noWrap/>
          </w:tcPr>
          <w:p w14:paraId="64969173">
            <w:pPr>
              <w:spacing w:line="480" w:lineRule="exact"/>
              <w:rPr>
                <w:rFonts w:ascii="宋体" w:hAnsi="宋体" w:eastAsia="宋体" w:cs="Times New Roman"/>
                <w:bCs/>
                <w:sz w:val="22"/>
              </w:rPr>
            </w:pPr>
          </w:p>
        </w:tc>
        <w:tc>
          <w:tcPr>
            <w:tcW w:w="1891" w:type="dxa"/>
            <w:noWrap/>
          </w:tcPr>
          <w:p w14:paraId="724721C4">
            <w:pPr>
              <w:spacing w:line="480" w:lineRule="exact"/>
              <w:rPr>
                <w:rFonts w:ascii="宋体" w:hAnsi="宋体" w:eastAsia="宋体" w:cs="Times New Roman"/>
                <w:bCs/>
                <w:sz w:val="22"/>
              </w:rPr>
            </w:pPr>
          </w:p>
        </w:tc>
        <w:tc>
          <w:tcPr>
            <w:tcW w:w="1973" w:type="dxa"/>
            <w:noWrap/>
          </w:tcPr>
          <w:p w14:paraId="1CF75E51">
            <w:pPr>
              <w:spacing w:line="480" w:lineRule="exact"/>
              <w:rPr>
                <w:rFonts w:ascii="宋体" w:hAnsi="宋体" w:eastAsia="宋体" w:cs="Times New Roman"/>
                <w:bCs/>
                <w:sz w:val="22"/>
              </w:rPr>
            </w:pPr>
          </w:p>
        </w:tc>
        <w:tc>
          <w:tcPr>
            <w:tcW w:w="1252" w:type="dxa"/>
            <w:noWrap/>
          </w:tcPr>
          <w:p w14:paraId="3AC06DE8">
            <w:pPr>
              <w:spacing w:line="480" w:lineRule="exact"/>
              <w:rPr>
                <w:rFonts w:ascii="宋体" w:hAnsi="宋体" w:eastAsia="宋体" w:cs="Times New Roman"/>
                <w:bCs/>
                <w:sz w:val="22"/>
              </w:rPr>
            </w:pPr>
          </w:p>
        </w:tc>
      </w:tr>
      <w:tr w14:paraId="013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893749A">
            <w:pPr>
              <w:spacing w:line="480" w:lineRule="exact"/>
              <w:rPr>
                <w:rFonts w:ascii="宋体" w:hAnsi="宋体" w:eastAsia="宋体" w:cs="Times New Roman"/>
                <w:bCs/>
                <w:sz w:val="22"/>
              </w:rPr>
            </w:pPr>
          </w:p>
        </w:tc>
        <w:tc>
          <w:tcPr>
            <w:tcW w:w="1282" w:type="dxa"/>
            <w:noWrap/>
          </w:tcPr>
          <w:p w14:paraId="54A9D5E0">
            <w:pPr>
              <w:spacing w:line="480" w:lineRule="exact"/>
              <w:rPr>
                <w:rFonts w:ascii="宋体" w:hAnsi="宋体" w:eastAsia="宋体" w:cs="Times New Roman"/>
                <w:bCs/>
                <w:sz w:val="22"/>
              </w:rPr>
            </w:pPr>
          </w:p>
        </w:tc>
        <w:tc>
          <w:tcPr>
            <w:tcW w:w="2078" w:type="dxa"/>
            <w:noWrap/>
          </w:tcPr>
          <w:p w14:paraId="47A6C0FE">
            <w:pPr>
              <w:spacing w:line="480" w:lineRule="exact"/>
              <w:rPr>
                <w:rFonts w:ascii="宋体" w:hAnsi="宋体" w:eastAsia="宋体" w:cs="Times New Roman"/>
                <w:bCs/>
                <w:sz w:val="22"/>
              </w:rPr>
            </w:pPr>
          </w:p>
        </w:tc>
        <w:tc>
          <w:tcPr>
            <w:tcW w:w="1891" w:type="dxa"/>
            <w:noWrap/>
          </w:tcPr>
          <w:p w14:paraId="42E9ADD1">
            <w:pPr>
              <w:spacing w:line="480" w:lineRule="exact"/>
              <w:rPr>
                <w:rFonts w:ascii="宋体" w:hAnsi="宋体" w:eastAsia="宋体" w:cs="Times New Roman"/>
                <w:bCs/>
                <w:sz w:val="22"/>
              </w:rPr>
            </w:pPr>
          </w:p>
        </w:tc>
        <w:tc>
          <w:tcPr>
            <w:tcW w:w="1973" w:type="dxa"/>
            <w:noWrap/>
          </w:tcPr>
          <w:p w14:paraId="6AD1DB22">
            <w:pPr>
              <w:spacing w:line="480" w:lineRule="exact"/>
              <w:rPr>
                <w:rFonts w:ascii="宋体" w:hAnsi="宋体" w:eastAsia="宋体" w:cs="Times New Roman"/>
                <w:bCs/>
                <w:sz w:val="22"/>
              </w:rPr>
            </w:pPr>
          </w:p>
        </w:tc>
        <w:tc>
          <w:tcPr>
            <w:tcW w:w="1252" w:type="dxa"/>
            <w:noWrap/>
          </w:tcPr>
          <w:p w14:paraId="64CED95D">
            <w:pPr>
              <w:spacing w:line="480" w:lineRule="exact"/>
              <w:rPr>
                <w:rFonts w:ascii="宋体" w:hAnsi="宋体" w:eastAsia="宋体" w:cs="Times New Roman"/>
                <w:bCs/>
                <w:sz w:val="22"/>
              </w:rPr>
            </w:pPr>
          </w:p>
        </w:tc>
      </w:tr>
      <w:tr w14:paraId="453E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17DC22F">
            <w:pPr>
              <w:spacing w:line="480" w:lineRule="exact"/>
              <w:rPr>
                <w:rFonts w:ascii="宋体" w:hAnsi="宋体" w:eastAsia="宋体" w:cs="Times New Roman"/>
                <w:bCs/>
                <w:sz w:val="22"/>
              </w:rPr>
            </w:pPr>
          </w:p>
        </w:tc>
        <w:tc>
          <w:tcPr>
            <w:tcW w:w="1282" w:type="dxa"/>
            <w:noWrap/>
          </w:tcPr>
          <w:p w14:paraId="54B294FD">
            <w:pPr>
              <w:spacing w:line="480" w:lineRule="exact"/>
              <w:rPr>
                <w:rFonts w:ascii="宋体" w:hAnsi="宋体" w:eastAsia="宋体" w:cs="Times New Roman"/>
                <w:bCs/>
                <w:sz w:val="22"/>
              </w:rPr>
            </w:pPr>
          </w:p>
        </w:tc>
        <w:tc>
          <w:tcPr>
            <w:tcW w:w="2078" w:type="dxa"/>
            <w:noWrap/>
          </w:tcPr>
          <w:p w14:paraId="18B2F17F">
            <w:pPr>
              <w:spacing w:line="480" w:lineRule="exact"/>
              <w:rPr>
                <w:rFonts w:ascii="宋体" w:hAnsi="宋体" w:eastAsia="宋体" w:cs="Times New Roman"/>
                <w:bCs/>
                <w:sz w:val="22"/>
              </w:rPr>
            </w:pPr>
          </w:p>
        </w:tc>
        <w:tc>
          <w:tcPr>
            <w:tcW w:w="1891" w:type="dxa"/>
            <w:noWrap/>
          </w:tcPr>
          <w:p w14:paraId="7DEBB4CC">
            <w:pPr>
              <w:spacing w:line="480" w:lineRule="exact"/>
              <w:rPr>
                <w:rFonts w:ascii="宋体" w:hAnsi="宋体" w:eastAsia="宋体" w:cs="Times New Roman"/>
                <w:bCs/>
                <w:sz w:val="22"/>
              </w:rPr>
            </w:pPr>
          </w:p>
        </w:tc>
        <w:tc>
          <w:tcPr>
            <w:tcW w:w="1973" w:type="dxa"/>
            <w:noWrap/>
          </w:tcPr>
          <w:p w14:paraId="074BAB65">
            <w:pPr>
              <w:spacing w:line="480" w:lineRule="exact"/>
              <w:rPr>
                <w:rFonts w:ascii="宋体" w:hAnsi="宋体" w:eastAsia="宋体" w:cs="Times New Roman"/>
                <w:bCs/>
                <w:sz w:val="22"/>
              </w:rPr>
            </w:pPr>
          </w:p>
        </w:tc>
        <w:tc>
          <w:tcPr>
            <w:tcW w:w="1252" w:type="dxa"/>
            <w:noWrap/>
          </w:tcPr>
          <w:p w14:paraId="2AB932C3">
            <w:pPr>
              <w:spacing w:line="480" w:lineRule="exact"/>
              <w:rPr>
                <w:rFonts w:ascii="宋体" w:hAnsi="宋体" w:eastAsia="宋体" w:cs="Times New Roman"/>
                <w:bCs/>
                <w:sz w:val="22"/>
              </w:rPr>
            </w:pPr>
          </w:p>
        </w:tc>
      </w:tr>
    </w:tbl>
    <w:p w14:paraId="34A3A048">
      <w:pPr>
        <w:spacing w:line="480" w:lineRule="exact"/>
        <w:rPr>
          <w:rFonts w:ascii="宋体" w:hAnsi="宋体" w:eastAsia="宋体" w:cs="Times New Roman"/>
          <w:bCs/>
          <w:sz w:val="24"/>
          <w:szCs w:val="24"/>
        </w:rPr>
      </w:pPr>
      <w:r>
        <w:rPr>
          <w:rFonts w:hint="eastAsia" w:ascii="宋体" w:hAnsi="宋体" w:eastAsia="宋体" w:cs="Times New Roman"/>
          <w:bCs/>
          <w:sz w:val="24"/>
          <w:szCs w:val="24"/>
        </w:rPr>
        <w:t>（注：磋商响应供应商应根据磋商响应设备的技术参数对照磋商文件要求对比偏离情况）</w:t>
      </w:r>
    </w:p>
    <w:p w14:paraId="7BE1A28F">
      <w:pPr>
        <w:spacing w:line="480" w:lineRule="exact"/>
        <w:rPr>
          <w:rFonts w:ascii="宋体" w:hAnsi="宋体" w:eastAsia="宋体" w:cs="Times New Roman"/>
          <w:bCs/>
          <w:sz w:val="24"/>
          <w:szCs w:val="24"/>
        </w:rPr>
      </w:pPr>
    </w:p>
    <w:p w14:paraId="6604F89D">
      <w:pPr>
        <w:spacing w:line="480" w:lineRule="exact"/>
        <w:ind w:firstLine="120" w:firstLineChars="50"/>
        <w:rPr>
          <w:rFonts w:ascii="宋体" w:hAnsi="宋体" w:eastAsia="宋体" w:cs="Times New Roman"/>
          <w:bCs/>
          <w:sz w:val="24"/>
          <w:szCs w:val="24"/>
        </w:rPr>
      </w:pPr>
      <w:r>
        <w:rPr>
          <w:rFonts w:hint="eastAsia" w:ascii="宋体" w:hAnsi="宋体" w:eastAsia="宋体" w:cs="Times New Roman"/>
          <w:bCs/>
          <w:sz w:val="24"/>
          <w:szCs w:val="24"/>
        </w:rPr>
        <w:t>注：此表格若不够用，可根据实际自行扩展表格。</w:t>
      </w:r>
    </w:p>
    <w:p w14:paraId="65BC6C73">
      <w:pPr>
        <w:spacing w:line="480" w:lineRule="exact"/>
        <w:ind w:firstLine="120" w:firstLineChars="50"/>
        <w:rPr>
          <w:rFonts w:ascii="宋体" w:hAnsi="宋体" w:eastAsia="宋体" w:cs="Times New Roman"/>
          <w:bCs/>
          <w:sz w:val="24"/>
          <w:szCs w:val="24"/>
        </w:rPr>
      </w:pPr>
    </w:p>
    <w:p w14:paraId="6E83819F">
      <w:pPr>
        <w:spacing w:line="480" w:lineRule="exact"/>
        <w:ind w:firstLine="105" w:firstLineChars="50"/>
        <w:rPr>
          <w:rFonts w:ascii="宋体" w:hAnsi="宋体" w:eastAsia="宋体" w:cs="Times New Roman"/>
          <w:bCs/>
          <w:szCs w:val="21"/>
        </w:rPr>
      </w:pPr>
    </w:p>
    <w:p w14:paraId="78BA0609">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3425642F">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4C915FA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6C07D4E0">
      <w:pPr>
        <w:snapToGrid w:val="0"/>
        <w:spacing w:line="480" w:lineRule="auto"/>
        <w:rPr>
          <w:rFonts w:ascii="宋体" w:hAnsi="宋体" w:eastAsia="宋体" w:cs="Times New Roman"/>
          <w:b/>
          <w:szCs w:val="21"/>
        </w:rPr>
      </w:pPr>
      <w:r>
        <w:rPr>
          <w:rFonts w:hint="eastAsia" w:ascii="宋体" w:hAnsi="宋体" w:eastAsia="宋体" w:cs="Times New Roman"/>
          <w:szCs w:val="21"/>
        </w:rPr>
        <w:br w:type="page"/>
      </w:r>
      <w:r>
        <w:rPr>
          <w:rFonts w:hint="eastAsia" w:ascii="宋体" w:hAnsi="宋体" w:eastAsia="宋体" w:cs="Times New Roman"/>
          <w:b/>
          <w:szCs w:val="21"/>
        </w:rPr>
        <w:t xml:space="preserve">附件3：              </w:t>
      </w:r>
    </w:p>
    <w:p w14:paraId="57B595BB">
      <w:pPr>
        <w:spacing w:line="520" w:lineRule="exact"/>
        <w:jc w:val="center"/>
        <w:rPr>
          <w:rFonts w:ascii="宋体" w:hAnsi="宋体" w:eastAsia="宋体" w:cs="Times New Roman"/>
          <w:b/>
          <w:sz w:val="24"/>
          <w:szCs w:val="21"/>
        </w:rPr>
      </w:pPr>
      <w:r>
        <w:rPr>
          <w:rFonts w:hint="eastAsia" w:ascii="宋体" w:hAnsi="宋体" w:eastAsia="宋体" w:cs="Times New Roman"/>
          <w:b/>
          <w:sz w:val="24"/>
          <w:szCs w:val="21"/>
        </w:rPr>
        <w:t>商务响应表</w:t>
      </w:r>
      <w:r>
        <w:rPr>
          <w:rFonts w:hint="eastAsia" w:ascii="宋体" w:hAnsi="宋体" w:eastAsia="宋体" w:cs="Times New Roman"/>
          <w:sz w:val="24"/>
          <w:szCs w:val="21"/>
        </w:rPr>
        <w:t>（格式）</w:t>
      </w:r>
    </w:p>
    <w:p w14:paraId="1A8DFD27">
      <w:pPr>
        <w:snapToGrid w:val="0"/>
        <w:spacing w:line="520" w:lineRule="exact"/>
        <w:rPr>
          <w:rFonts w:ascii="宋体" w:hAnsi="宋体" w:eastAsia="宋体" w:cs="Times New Roman"/>
          <w:szCs w:val="21"/>
          <w:u w:val="single"/>
        </w:rPr>
      </w:pPr>
      <w:r>
        <w:rPr>
          <w:rFonts w:hint="eastAsia" w:ascii="宋体" w:hAnsi="宋体" w:eastAsia="宋体" w:cs="Times New Roman"/>
          <w:sz w:val="24"/>
          <w:szCs w:val="24"/>
        </w:rPr>
        <w:t>磋商响应</w:t>
      </w:r>
      <w:r>
        <w:rPr>
          <w:rFonts w:hint="eastAsia" w:ascii="宋体" w:hAnsi="宋体" w:eastAsia="宋体" w:cs="Times New Roman"/>
          <w:sz w:val="22"/>
          <w:szCs w:val="21"/>
        </w:rPr>
        <w:t>供应商名称：</w:t>
      </w:r>
    </w:p>
    <w:p w14:paraId="5CD86868">
      <w:pPr>
        <w:snapToGrid w:val="0"/>
        <w:spacing w:line="520" w:lineRule="exact"/>
        <w:rPr>
          <w:rFonts w:ascii="宋体" w:hAnsi="宋体" w:eastAsia="宋体" w:cs="Times New Roman"/>
          <w:sz w:val="22"/>
        </w:rPr>
      </w:pPr>
      <w:r>
        <w:rPr>
          <w:rFonts w:hint="eastAsia" w:ascii="宋体" w:hAnsi="宋体" w:eastAsia="宋体" w:cs="Times New Roman"/>
          <w:sz w:val="22"/>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6C3A1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tcPr>
          <w:p w14:paraId="7A55AC38">
            <w:pPr>
              <w:snapToGrid w:val="0"/>
              <w:spacing w:line="520" w:lineRule="exact"/>
              <w:rPr>
                <w:rFonts w:ascii="宋体" w:hAnsi="宋体" w:eastAsia="宋体" w:cs="宋体"/>
                <w:sz w:val="22"/>
              </w:rPr>
            </w:pPr>
            <w:r>
              <w:rPr>
                <w:rFonts w:hint="eastAsia" w:ascii="宋体" w:hAnsi="宋体" w:eastAsia="宋体" w:cs="Times New Roman"/>
                <w:sz w:val="22"/>
              </w:rPr>
              <w:t>项目</w:t>
            </w:r>
          </w:p>
        </w:tc>
        <w:tc>
          <w:tcPr>
            <w:tcW w:w="2700" w:type="dxa"/>
            <w:tcBorders>
              <w:top w:val="single" w:color="auto" w:sz="4" w:space="0"/>
              <w:left w:val="single" w:color="auto" w:sz="4" w:space="0"/>
              <w:bottom w:val="single" w:color="auto" w:sz="4" w:space="0"/>
              <w:right w:val="single" w:color="auto" w:sz="4" w:space="0"/>
            </w:tcBorders>
            <w:noWrap/>
          </w:tcPr>
          <w:p w14:paraId="5F25877E">
            <w:pPr>
              <w:snapToGrid w:val="0"/>
              <w:spacing w:line="520" w:lineRule="exact"/>
              <w:rPr>
                <w:rFonts w:ascii="宋体" w:hAnsi="宋体" w:eastAsia="宋体" w:cs="宋体"/>
                <w:sz w:val="22"/>
              </w:rPr>
            </w:pPr>
            <w:r>
              <w:rPr>
                <w:rFonts w:hint="eastAsia" w:ascii="宋体" w:hAnsi="宋体" w:eastAsia="宋体" w:cs="Times New Roman"/>
                <w:sz w:val="22"/>
              </w:rPr>
              <w:t>磋商文件要求</w:t>
            </w:r>
          </w:p>
        </w:tc>
        <w:tc>
          <w:tcPr>
            <w:tcW w:w="1260" w:type="dxa"/>
            <w:tcBorders>
              <w:top w:val="single" w:color="auto" w:sz="4" w:space="0"/>
              <w:left w:val="single" w:color="auto" w:sz="4" w:space="0"/>
              <w:bottom w:val="single" w:color="auto" w:sz="4" w:space="0"/>
              <w:right w:val="single" w:color="auto" w:sz="4" w:space="0"/>
            </w:tcBorders>
            <w:noWrap/>
          </w:tcPr>
          <w:p w14:paraId="3C9DC675">
            <w:pPr>
              <w:snapToGrid w:val="0"/>
              <w:spacing w:line="520" w:lineRule="exact"/>
              <w:rPr>
                <w:rFonts w:ascii="宋体" w:hAnsi="宋体" w:eastAsia="宋体" w:cs="宋体"/>
                <w:sz w:val="22"/>
              </w:rPr>
            </w:pPr>
            <w:r>
              <w:rPr>
                <w:rFonts w:hint="eastAsia" w:ascii="宋体" w:hAnsi="宋体" w:eastAsia="宋体" w:cs="Times New Roman"/>
                <w:sz w:val="22"/>
              </w:rPr>
              <w:t>是否响应</w:t>
            </w:r>
          </w:p>
        </w:tc>
        <w:tc>
          <w:tcPr>
            <w:tcW w:w="2652" w:type="dxa"/>
            <w:tcBorders>
              <w:top w:val="single" w:color="auto" w:sz="4" w:space="0"/>
              <w:left w:val="single" w:color="auto" w:sz="4" w:space="0"/>
              <w:bottom w:val="single" w:color="auto" w:sz="4" w:space="0"/>
              <w:right w:val="single" w:color="auto" w:sz="4" w:space="0"/>
            </w:tcBorders>
            <w:noWrap/>
          </w:tcPr>
          <w:p w14:paraId="503AF2BC">
            <w:pPr>
              <w:snapToGrid w:val="0"/>
              <w:spacing w:line="520" w:lineRule="exact"/>
              <w:rPr>
                <w:rFonts w:ascii="宋体" w:hAnsi="宋体" w:eastAsia="宋体" w:cs="宋体"/>
                <w:sz w:val="22"/>
              </w:rPr>
            </w:pPr>
            <w:r>
              <w:rPr>
                <w:rFonts w:hint="eastAsia" w:ascii="宋体" w:hAnsi="宋体" w:eastAsia="宋体" w:cs="Times New Roman"/>
                <w:sz w:val="22"/>
              </w:rPr>
              <w:t>供应商的承诺或说明</w:t>
            </w:r>
          </w:p>
        </w:tc>
      </w:tr>
      <w:tr w14:paraId="32BAD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tcPr>
          <w:p w14:paraId="0E4F268F">
            <w:pPr>
              <w:snapToGrid w:val="0"/>
              <w:spacing w:line="520" w:lineRule="exact"/>
              <w:rPr>
                <w:rFonts w:ascii="宋体" w:hAnsi="宋体" w:eastAsia="宋体" w:cs="宋体"/>
                <w:sz w:val="22"/>
              </w:rPr>
            </w:pPr>
            <w:r>
              <w:rPr>
                <w:rFonts w:hint="eastAsia" w:ascii="宋体" w:hAnsi="宋体" w:eastAsia="宋体" w:cs="Times New Roman"/>
                <w:sz w:val="22"/>
              </w:rPr>
              <w:t>质保期</w:t>
            </w:r>
          </w:p>
        </w:tc>
        <w:tc>
          <w:tcPr>
            <w:tcW w:w="2700" w:type="dxa"/>
            <w:tcBorders>
              <w:top w:val="single" w:color="auto" w:sz="4" w:space="0"/>
              <w:left w:val="single" w:color="auto" w:sz="4" w:space="0"/>
              <w:bottom w:val="single" w:color="auto" w:sz="4" w:space="0"/>
              <w:right w:val="single" w:color="auto" w:sz="4" w:space="0"/>
            </w:tcBorders>
            <w:noWrap/>
          </w:tcPr>
          <w:p w14:paraId="625ADC93">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4270251">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23CBE716">
            <w:pPr>
              <w:spacing w:line="520" w:lineRule="exact"/>
              <w:rPr>
                <w:rFonts w:ascii="宋体" w:hAnsi="宋体" w:eastAsia="宋体" w:cs="宋体"/>
                <w:sz w:val="22"/>
              </w:rPr>
            </w:pPr>
          </w:p>
        </w:tc>
      </w:tr>
      <w:tr w14:paraId="12C1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tcPr>
          <w:p w14:paraId="414F1A4E">
            <w:pPr>
              <w:snapToGrid w:val="0"/>
              <w:spacing w:line="520" w:lineRule="exact"/>
              <w:rPr>
                <w:rFonts w:ascii="宋体" w:hAnsi="宋体" w:eastAsia="宋体" w:cs="宋体"/>
                <w:sz w:val="22"/>
              </w:rPr>
            </w:pPr>
            <w:r>
              <w:rPr>
                <w:rFonts w:hint="eastAsia" w:ascii="宋体" w:hAnsi="宋体" w:eastAsia="宋体" w:cs="Times New Roman"/>
                <w:sz w:val="22"/>
              </w:rPr>
              <w:t>质量要求</w:t>
            </w:r>
          </w:p>
        </w:tc>
        <w:tc>
          <w:tcPr>
            <w:tcW w:w="2700" w:type="dxa"/>
            <w:tcBorders>
              <w:top w:val="single" w:color="auto" w:sz="4" w:space="0"/>
              <w:left w:val="single" w:color="auto" w:sz="4" w:space="0"/>
              <w:bottom w:val="single" w:color="auto" w:sz="4" w:space="0"/>
              <w:right w:val="single" w:color="auto" w:sz="4" w:space="0"/>
            </w:tcBorders>
            <w:noWrap/>
          </w:tcPr>
          <w:p w14:paraId="1D1CA4C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7D91BDD">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DDAA2E2">
            <w:pPr>
              <w:spacing w:line="520" w:lineRule="exact"/>
              <w:ind w:right="-107" w:rightChars="-51"/>
              <w:rPr>
                <w:rFonts w:ascii="宋体" w:hAnsi="宋体" w:eastAsia="宋体" w:cs="宋体"/>
                <w:sz w:val="22"/>
              </w:rPr>
            </w:pPr>
          </w:p>
        </w:tc>
      </w:tr>
      <w:tr w14:paraId="16F5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496" w:type="dxa"/>
            <w:tcBorders>
              <w:top w:val="single" w:color="auto" w:sz="4" w:space="0"/>
              <w:left w:val="single" w:color="auto" w:sz="4" w:space="0"/>
              <w:bottom w:val="single" w:color="auto" w:sz="4" w:space="0"/>
              <w:right w:val="single" w:color="auto" w:sz="4" w:space="0"/>
            </w:tcBorders>
            <w:noWrap/>
          </w:tcPr>
          <w:p w14:paraId="3C46ACA7">
            <w:pPr>
              <w:snapToGrid w:val="0"/>
              <w:spacing w:line="520" w:lineRule="exact"/>
              <w:rPr>
                <w:rFonts w:ascii="宋体" w:hAnsi="宋体" w:eastAsia="宋体" w:cs="宋体"/>
                <w:sz w:val="22"/>
              </w:rPr>
            </w:pPr>
            <w:r>
              <w:rPr>
                <w:rFonts w:hint="eastAsia" w:ascii="宋体" w:hAnsi="宋体" w:eastAsia="宋体" w:cs="Times New Roman"/>
                <w:sz w:val="22"/>
              </w:rPr>
              <w:t>交货时间及地点</w:t>
            </w:r>
          </w:p>
        </w:tc>
        <w:tc>
          <w:tcPr>
            <w:tcW w:w="2700" w:type="dxa"/>
            <w:tcBorders>
              <w:top w:val="single" w:color="auto" w:sz="4" w:space="0"/>
              <w:left w:val="single" w:color="auto" w:sz="4" w:space="0"/>
              <w:bottom w:val="single" w:color="auto" w:sz="4" w:space="0"/>
              <w:right w:val="single" w:color="auto" w:sz="4" w:space="0"/>
            </w:tcBorders>
            <w:noWrap/>
          </w:tcPr>
          <w:p w14:paraId="229F8D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BA0FC6">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16462D11">
            <w:pPr>
              <w:spacing w:line="520" w:lineRule="exact"/>
              <w:rPr>
                <w:rFonts w:ascii="宋体" w:hAnsi="宋体" w:eastAsia="宋体" w:cs="宋体"/>
                <w:sz w:val="22"/>
              </w:rPr>
            </w:pPr>
          </w:p>
        </w:tc>
      </w:tr>
      <w:tr w14:paraId="46AC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6" w:type="dxa"/>
            <w:tcBorders>
              <w:top w:val="single" w:color="auto" w:sz="4" w:space="0"/>
              <w:left w:val="single" w:color="auto" w:sz="4" w:space="0"/>
              <w:bottom w:val="single" w:color="auto" w:sz="4" w:space="0"/>
              <w:right w:val="single" w:color="auto" w:sz="4" w:space="0"/>
            </w:tcBorders>
            <w:noWrap/>
          </w:tcPr>
          <w:p w14:paraId="72D0868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2902C105">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50BBEB9">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BAAE10E">
            <w:pPr>
              <w:spacing w:line="520" w:lineRule="exact"/>
              <w:rPr>
                <w:rFonts w:ascii="宋体" w:hAnsi="宋体" w:eastAsia="宋体" w:cs="宋体"/>
                <w:sz w:val="22"/>
              </w:rPr>
            </w:pPr>
          </w:p>
        </w:tc>
      </w:tr>
      <w:tr w14:paraId="101A6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96" w:type="dxa"/>
            <w:tcBorders>
              <w:top w:val="single" w:color="auto" w:sz="4" w:space="0"/>
              <w:left w:val="single" w:color="auto" w:sz="4" w:space="0"/>
              <w:bottom w:val="single" w:color="auto" w:sz="4" w:space="0"/>
              <w:right w:val="single" w:color="auto" w:sz="4" w:space="0"/>
            </w:tcBorders>
            <w:noWrap/>
          </w:tcPr>
          <w:p w14:paraId="30D2241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0984E030">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F66E5F8">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FFE11AC">
            <w:pPr>
              <w:spacing w:line="520" w:lineRule="exact"/>
              <w:rPr>
                <w:rFonts w:ascii="宋体" w:hAnsi="宋体" w:eastAsia="宋体" w:cs="宋体"/>
                <w:sz w:val="22"/>
              </w:rPr>
            </w:pPr>
          </w:p>
        </w:tc>
      </w:tr>
      <w:tr w14:paraId="053E7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1FD0462A">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5CEA26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EF80577">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5C1F149">
            <w:pPr>
              <w:spacing w:line="520" w:lineRule="exact"/>
              <w:rPr>
                <w:rFonts w:ascii="宋体" w:hAnsi="宋体" w:eastAsia="宋体" w:cs="宋体"/>
                <w:sz w:val="22"/>
              </w:rPr>
            </w:pPr>
          </w:p>
        </w:tc>
      </w:tr>
      <w:tr w14:paraId="693D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237A231D">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47CDCEF6">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997F73C">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0A789D7E">
            <w:pPr>
              <w:spacing w:line="520" w:lineRule="exact"/>
              <w:rPr>
                <w:rFonts w:ascii="宋体" w:hAnsi="宋体" w:eastAsia="宋体" w:cs="宋体"/>
                <w:sz w:val="22"/>
              </w:rPr>
            </w:pPr>
          </w:p>
        </w:tc>
      </w:tr>
    </w:tbl>
    <w:p w14:paraId="714BB262">
      <w:pPr>
        <w:spacing w:line="520" w:lineRule="exact"/>
        <w:ind w:firstLine="2400" w:firstLineChars="1000"/>
        <w:rPr>
          <w:rFonts w:ascii="宋体" w:hAnsi="宋体" w:eastAsia="宋体" w:cs="Times New Roman"/>
          <w:sz w:val="24"/>
          <w:szCs w:val="21"/>
        </w:rPr>
      </w:pPr>
    </w:p>
    <w:p w14:paraId="6F7AA78B">
      <w:pPr>
        <w:spacing w:line="520" w:lineRule="exact"/>
        <w:ind w:firstLine="2400" w:firstLineChars="1000"/>
        <w:rPr>
          <w:rFonts w:ascii="宋体" w:hAnsi="宋体" w:eastAsia="宋体" w:cs="Times New Roman"/>
          <w:sz w:val="24"/>
          <w:szCs w:val="21"/>
        </w:rPr>
      </w:pPr>
    </w:p>
    <w:p w14:paraId="4E05D5F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4BB39F11">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7C69CD71">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2E491CA2">
      <w:pPr>
        <w:spacing w:line="500" w:lineRule="exact"/>
        <w:jc w:val="center"/>
        <w:textAlignment w:val="baseline"/>
        <w:rPr>
          <w:rFonts w:ascii="宋体" w:hAnsi="宋体" w:eastAsia="宋体" w:cs="Times New Roman"/>
          <w:b/>
          <w:bCs/>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11</w:t>
      </w:r>
      <w:r>
        <w:rPr>
          <w:rFonts w:hint="eastAsia" w:ascii="宋体" w:hAnsi="宋体" w:eastAsia="宋体" w:cs="Times New Roman"/>
          <w:b/>
          <w:bCs/>
          <w:sz w:val="32"/>
          <w:szCs w:val="32"/>
        </w:rPr>
        <w:t>、磋商响应供应商可提交的其他资料</w:t>
      </w:r>
    </w:p>
    <w:p w14:paraId="06484ED8">
      <w:pPr>
        <w:rPr>
          <w:rFonts w:ascii="Times New Roman" w:hAnsi="Times New Roman" w:eastAsia="宋体" w:cs="Times New Roman"/>
          <w:szCs w:val="21"/>
        </w:rPr>
      </w:pPr>
    </w:p>
    <w:p w14:paraId="7BB9C4C1"/>
    <w:sectPr>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D06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14FC9D36">
                          <w:pPr>
                            <w:pStyle w:val="14"/>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pvBKTcAQAArgMAAA4AAAAAAAAA&#10;AQAgAAAAHwEAAGRycy9lMm9Eb2MueG1sUEsFBgAAAAAGAAYAWQEAAG0FAAAAAA==&#10;">
              <v:fill on="f" focussize="0,0"/>
              <v:stroke on="f"/>
              <v:imagedata o:title=""/>
              <o:lock v:ext="edit" aspectratio="f"/>
              <v:textbox inset="0mm,0mm,0mm,0mm" style="mso-fit-shape-to-text:t;">
                <w:txbxContent>
                  <w:p w14:paraId="14FC9D36">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6C7D24"/>
    <w:rsid w:val="00031493"/>
    <w:rsid w:val="000634B1"/>
    <w:rsid w:val="000F051D"/>
    <w:rsid w:val="00195A70"/>
    <w:rsid w:val="00215A86"/>
    <w:rsid w:val="0040140E"/>
    <w:rsid w:val="004D71D9"/>
    <w:rsid w:val="00581C95"/>
    <w:rsid w:val="00677868"/>
    <w:rsid w:val="006C5E1F"/>
    <w:rsid w:val="006C7D24"/>
    <w:rsid w:val="008322F9"/>
    <w:rsid w:val="008674B4"/>
    <w:rsid w:val="00897376"/>
    <w:rsid w:val="009327EC"/>
    <w:rsid w:val="00B83B5F"/>
    <w:rsid w:val="00BA2BD6"/>
    <w:rsid w:val="00C56E84"/>
    <w:rsid w:val="00D331B2"/>
    <w:rsid w:val="00DC714D"/>
    <w:rsid w:val="00DF208C"/>
    <w:rsid w:val="02346795"/>
    <w:rsid w:val="04BA34A8"/>
    <w:rsid w:val="083F337C"/>
    <w:rsid w:val="08900771"/>
    <w:rsid w:val="0ABE2142"/>
    <w:rsid w:val="0B1A21DE"/>
    <w:rsid w:val="0B3142B3"/>
    <w:rsid w:val="0B5D4E76"/>
    <w:rsid w:val="0BC36D79"/>
    <w:rsid w:val="0C2F5739"/>
    <w:rsid w:val="0DC65EDD"/>
    <w:rsid w:val="0E6108A1"/>
    <w:rsid w:val="10481A80"/>
    <w:rsid w:val="13CA3C1D"/>
    <w:rsid w:val="161547DB"/>
    <w:rsid w:val="19090B5C"/>
    <w:rsid w:val="1947580B"/>
    <w:rsid w:val="1B8E4EF3"/>
    <w:rsid w:val="1C6B3AA2"/>
    <w:rsid w:val="1E0423C5"/>
    <w:rsid w:val="1E1A4B13"/>
    <w:rsid w:val="273677D8"/>
    <w:rsid w:val="2BF74278"/>
    <w:rsid w:val="2D6C6CF8"/>
    <w:rsid w:val="2EF2089E"/>
    <w:rsid w:val="2FB962A8"/>
    <w:rsid w:val="30194999"/>
    <w:rsid w:val="35406145"/>
    <w:rsid w:val="382E0AAE"/>
    <w:rsid w:val="3B7D732B"/>
    <w:rsid w:val="42FB6477"/>
    <w:rsid w:val="486017CE"/>
    <w:rsid w:val="486E1440"/>
    <w:rsid w:val="4A4A52F6"/>
    <w:rsid w:val="4AE941A5"/>
    <w:rsid w:val="4B3B6158"/>
    <w:rsid w:val="4E442AE7"/>
    <w:rsid w:val="52444AAB"/>
    <w:rsid w:val="52BB15D7"/>
    <w:rsid w:val="52F6132D"/>
    <w:rsid w:val="573D572E"/>
    <w:rsid w:val="58316012"/>
    <w:rsid w:val="5A195640"/>
    <w:rsid w:val="5A644679"/>
    <w:rsid w:val="5A6E01C6"/>
    <w:rsid w:val="5AFC4FE8"/>
    <w:rsid w:val="5D9C768D"/>
    <w:rsid w:val="5FAD49AA"/>
    <w:rsid w:val="60712451"/>
    <w:rsid w:val="611048BB"/>
    <w:rsid w:val="6BC27428"/>
    <w:rsid w:val="6FE47D6B"/>
    <w:rsid w:val="72050D94"/>
    <w:rsid w:val="72C66E78"/>
    <w:rsid w:val="734B7734"/>
    <w:rsid w:val="763D2DE1"/>
    <w:rsid w:val="7D36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autoRedefine/>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4">
    <w:name w:val="heading 2"/>
    <w:basedOn w:val="1"/>
    <w:next w:val="1"/>
    <w:link w:val="39"/>
    <w:autoRedefine/>
    <w:qFormat/>
    <w:uiPriority w:val="9"/>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5">
    <w:name w:val="heading 3"/>
    <w:basedOn w:val="1"/>
    <w:next w:val="1"/>
    <w:link w:val="40"/>
    <w:autoRedefine/>
    <w:qFormat/>
    <w:uiPriority w:val="9"/>
    <w:pPr>
      <w:keepNext/>
      <w:keepLines/>
      <w:spacing w:before="260" w:after="260" w:line="415" w:lineRule="auto"/>
      <w:outlineLvl w:val="2"/>
    </w:pPr>
    <w:rPr>
      <w:rFonts w:ascii="Calibri" w:hAnsi="Calibri" w:eastAsia="宋体" w:cs="Times New Roman"/>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2"/>
    <w:autoRedefine/>
    <w:unhideWhenUsed/>
    <w:qFormat/>
    <w:uiPriority w:val="99"/>
    <w:pPr>
      <w:spacing w:after="120"/>
    </w:pPr>
    <w:rPr>
      <w:rFonts w:ascii="Calibri" w:hAnsi="Calibri" w:eastAsia="宋体" w:cs="Times New Roman"/>
      <w:kern w:val="0"/>
      <w:szCs w:val="20"/>
    </w:rPr>
  </w:style>
  <w:style w:type="paragraph" w:styleId="6">
    <w:name w:val="Normal Indent"/>
    <w:basedOn w:val="1"/>
    <w:autoRedefine/>
    <w:unhideWhenUsed/>
    <w:qFormat/>
    <w:uiPriority w:val="99"/>
    <w:pPr>
      <w:ind w:firstLine="420"/>
    </w:pPr>
    <w:rPr>
      <w:rFonts w:ascii="Times New Roman" w:hAnsi="Times New Roman" w:eastAsia="宋体" w:cs="Times New Roman"/>
      <w:sz w:val="28"/>
      <w:szCs w:val="28"/>
    </w:rPr>
  </w:style>
  <w:style w:type="paragraph" w:styleId="7">
    <w:name w:val="annotation text"/>
    <w:basedOn w:val="1"/>
    <w:link w:val="41"/>
    <w:autoRedefine/>
    <w:qFormat/>
    <w:uiPriority w:val="0"/>
    <w:rPr>
      <w:rFonts w:ascii="Times New Roman" w:hAnsi="Times New Roman" w:eastAsia="宋体" w:cs="Times New Roman"/>
      <w:szCs w:val="21"/>
    </w:rPr>
  </w:style>
  <w:style w:type="paragraph" w:styleId="8">
    <w:name w:val="Body Text Indent"/>
    <w:basedOn w:val="1"/>
    <w:link w:val="48"/>
    <w:autoRedefine/>
    <w:semiHidden/>
    <w:unhideWhenUsed/>
    <w:qFormat/>
    <w:uiPriority w:val="99"/>
    <w:pPr>
      <w:spacing w:after="120"/>
      <w:ind w:left="420" w:leftChars="200"/>
    </w:pPr>
    <w:rPr>
      <w:rFonts w:ascii="Times New Roman" w:hAnsi="Times New Roman" w:eastAsia="宋体" w:cs="Times New Roman"/>
      <w:szCs w:val="21"/>
    </w:rPr>
  </w:style>
  <w:style w:type="paragraph" w:styleId="9">
    <w:name w:val="Block Text"/>
    <w:basedOn w:val="1"/>
    <w:next w:val="10"/>
    <w:autoRedefine/>
    <w:qFormat/>
    <w:uiPriority w:val="0"/>
    <w:pPr>
      <w:autoSpaceDE w:val="0"/>
      <w:autoSpaceDN w:val="0"/>
      <w:adjustRightInd w:val="0"/>
      <w:spacing w:line="662" w:lineRule="exact"/>
      <w:ind w:left="182" w:leftChars="182" w:right="6"/>
    </w:pPr>
    <w:rPr>
      <w:rFonts w:ascii="Times New Roman" w:hAnsi="Times New Roman" w:eastAsia="宋体" w:cs="Times New Roman"/>
      <w:kern w:val="0"/>
      <w:sz w:val="28"/>
      <w:szCs w:val="28"/>
    </w:rPr>
  </w:style>
  <w:style w:type="paragraph" w:styleId="10">
    <w:name w:val="HTML Preformatted"/>
    <w:basedOn w:val="1"/>
    <w:link w:val="43"/>
    <w:autoRedefine/>
    <w:unhideWhenUsed/>
    <w:qFormat/>
    <w:uiPriority w:val="99"/>
    <w:rPr>
      <w:rFonts w:ascii="Courier New" w:hAnsi="Courier New" w:eastAsia="宋体" w:cs="Courier New"/>
      <w:sz w:val="20"/>
      <w:szCs w:val="20"/>
    </w:rPr>
  </w:style>
  <w:style w:type="paragraph" w:styleId="11">
    <w:name w:val="Plain Text"/>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2">
    <w:name w:val="Date"/>
    <w:basedOn w:val="1"/>
    <w:next w:val="1"/>
    <w:link w:val="44"/>
    <w:autoRedefine/>
    <w:unhideWhenUsed/>
    <w:qFormat/>
    <w:uiPriority w:val="99"/>
    <w:rPr>
      <w:rFonts w:ascii="宋体" w:hAnsi="宋体" w:eastAsia="宋体" w:cs="Times New Roman"/>
      <w:kern w:val="0"/>
      <w:sz w:val="32"/>
      <w:szCs w:val="32"/>
    </w:rPr>
  </w:style>
  <w:style w:type="paragraph" w:styleId="13">
    <w:name w:val="Body Text Indent 2"/>
    <w:basedOn w:val="1"/>
    <w:link w:val="45"/>
    <w:autoRedefine/>
    <w:qFormat/>
    <w:uiPriority w:val="0"/>
    <w:pPr>
      <w:spacing w:line="360" w:lineRule="auto"/>
      <w:ind w:firstLine="420"/>
    </w:pPr>
    <w:rPr>
      <w:rFonts w:ascii="宋体" w:hAnsi="宋体" w:eastAsia="宋体" w:cs="宋体"/>
      <w:b/>
      <w:kern w:val="1"/>
      <w:sz w:val="24"/>
      <w:szCs w:val="21"/>
    </w:rPr>
  </w:style>
  <w:style w:type="paragraph" w:styleId="14">
    <w:name w:val="Balloon Text"/>
    <w:basedOn w:val="1"/>
    <w:link w:val="46"/>
    <w:autoRedefine/>
    <w:qFormat/>
    <w:uiPriority w:val="99"/>
    <w:rPr>
      <w:rFonts w:ascii="Calibri" w:hAnsi="Calibri" w:eastAsia="宋体" w:cs="Times New Roman"/>
      <w:kern w:val="0"/>
      <w:sz w:val="18"/>
      <w:szCs w:val="18"/>
    </w:rPr>
  </w:style>
  <w:style w:type="paragraph" w:styleId="15">
    <w:name w:val="footer"/>
    <w:basedOn w:val="1"/>
    <w:link w:val="37"/>
    <w:autoRedefine/>
    <w:unhideWhenUsed/>
    <w:qFormat/>
    <w:uiPriority w:val="0"/>
    <w:pPr>
      <w:tabs>
        <w:tab w:val="center" w:pos="4153"/>
        <w:tab w:val="right" w:pos="8306"/>
      </w:tabs>
      <w:snapToGrid w:val="0"/>
      <w:jc w:val="left"/>
    </w:pPr>
    <w:rPr>
      <w:sz w:val="18"/>
      <w:szCs w:val="18"/>
    </w:rPr>
  </w:style>
  <w:style w:type="paragraph" w:styleId="16">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8">
    <w:name w:val="Body Text First Indent"/>
    <w:basedOn w:val="2"/>
    <w:next w:val="1"/>
    <w:link w:val="47"/>
    <w:autoRedefine/>
    <w:qFormat/>
    <w:uiPriority w:val="0"/>
    <w:pPr>
      <w:spacing w:line="360" w:lineRule="auto"/>
      <w:ind w:firstLine="420"/>
    </w:pPr>
    <w:rPr>
      <w:rFonts w:eastAsia="Arial Unicode MS"/>
      <w:color w:val="000000"/>
      <w:sz w:val="28"/>
      <w:szCs w:val="28"/>
    </w:rPr>
  </w:style>
  <w:style w:type="paragraph" w:styleId="19">
    <w:name w:val="Body Text First Indent 2"/>
    <w:basedOn w:val="8"/>
    <w:link w:val="49"/>
    <w:autoRedefine/>
    <w:semiHidden/>
    <w:qFormat/>
    <w:uiPriority w:val="0"/>
    <w:pPr>
      <w:spacing w:before="100" w:beforeAutospacing="1" w:after="120" w:line="360" w:lineRule="auto"/>
      <w:ind w:left="420" w:firstLine="420"/>
    </w:pPr>
    <w:rPr>
      <w:rFonts w:ascii="Calibri" w:hAnsi="Calibri" w:eastAsia="Arial Unicode MS" w:cs="Times New Roman"/>
      <w:color w:val="000000"/>
      <w:kern w:val="0"/>
      <w:sz w:val="20"/>
      <w:szCs w:val="21"/>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rPr>
      <w:b/>
      <w:bCs/>
    </w:rPr>
  </w:style>
  <w:style w:type="character" w:styleId="26">
    <w:name w:val="HTML Definition"/>
    <w:basedOn w:val="22"/>
    <w:autoRedefine/>
    <w:qFormat/>
    <w:uiPriority w:val="0"/>
    <w:rPr>
      <w:rFonts w:ascii="微软雅黑" w:hAnsi="微软雅黑" w:eastAsia="微软雅黑" w:cs="微软雅黑"/>
      <w:color w:val="3D4B64"/>
      <w:sz w:val="19"/>
      <w:szCs w:val="19"/>
    </w:rPr>
  </w:style>
  <w:style w:type="character" w:styleId="27">
    <w:name w:val="HTML Typewriter"/>
    <w:basedOn w:val="22"/>
    <w:autoRedefine/>
    <w:qFormat/>
    <w:uiPriority w:val="0"/>
    <w:rPr>
      <w:rFonts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autoRedefine/>
    <w:qFormat/>
    <w:uiPriority w:val="0"/>
    <w:rPr>
      <w:color w:val="0563C1"/>
      <w:u w:val="singl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bdr w:val="single" w:color="9A9A9A" w:sz="6" w:space="0"/>
      <w:shd w:val="clear" w:color="auto" w:fill="DBDDE2"/>
    </w:rPr>
  </w:style>
  <w:style w:type="paragraph" w:customStyle="1" w:styleId="35">
    <w:name w:val="Default"/>
    <w:basedOn w:val="1"/>
    <w:autoRedefine/>
    <w:qFormat/>
    <w:uiPriority w:val="0"/>
    <w:pPr>
      <w:autoSpaceDE w:val="0"/>
      <w:autoSpaceDN w:val="0"/>
      <w:adjustRightInd w:val="0"/>
    </w:pPr>
    <w:rPr>
      <w:rFonts w:ascii="宋体" w:hAnsi="宋体" w:eastAsia="宋体" w:cs="宋体"/>
      <w:color w:val="000000"/>
      <w:szCs w:val="21"/>
    </w:rPr>
  </w:style>
  <w:style w:type="character" w:customStyle="1" w:styleId="36">
    <w:name w:val="页眉 Char"/>
    <w:basedOn w:val="22"/>
    <w:link w:val="16"/>
    <w:autoRedefine/>
    <w:qFormat/>
    <w:uiPriority w:val="0"/>
    <w:rPr>
      <w:sz w:val="18"/>
      <w:szCs w:val="18"/>
    </w:rPr>
  </w:style>
  <w:style w:type="character" w:customStyle="1" w:styleId="37">
    <w:name w:val="页脚 Char"/>
    <w:basedOn w:val="22"/>
    <w:link w:val="15"/>
    <w:autoRedefine/>
    <w:qFormat/>
    <w:uiPriority w:val="0"/>
    <w:rPr>
      <w:sz w:val="18"/>
      <w:szCs w:val="18"/>
    </w:rPr>
  </w:style>
  <w:style w:type="character" w:customStyle="1" w:styleId="38">
    <w:name w:val="标题 1 Char"/>
    <w:basedOn w:val="22"/>
    <w:link w:val="3"/>
    <w:autoRedefine/>
    <w:qFormat/>
    <w:uiPriority w:val="0"/>
    <w:rPr>
      <w:rFonts w:ascii="Calibri" w:hAnsi="Calibri" w:eastAsia="宋体" w:cs="Times New Roman"/>
      <w:b/>
      <w:bCs/>
      <w:kern w:val="44"/>
      <w:sz w:val="44"/>
      <w:szCs w:val="44"/>
    </w:rPr>
  </w:style>
  <w:style w:type="character" w:customStyle="1" w:styleId="39">
    <w:name w:val="标题 2 Char"/>
    <w:basedOn w:val="22"/>
    <w:link w:val="4"/>
    <w:autoRedefine/>
    <w:qFormat/>
    <w:uiPriority w:val="9"/>
    <w:rPr>
      <w:rFonts w:ascii="黑体" w:hAnsi="Arial" w:eastAsia="黑体" w:cs="Times New Roman"/>
      <w:kern w:val="0"/>
      <w:sz w:val="28"/>
      <w:szCs w:val="28"/>
    </w:rPr>
  </w:style>
  <w:style w:type="character" w:customStyle="1" w:styleId="40">
    <w:name w:val="标题 3 Char"/>
    <w:basedOn w:val="22"/>
    <w:link w:val="5"/>
    <w:autoRedefine/>
    <w:qFormat/>
    <w:uiPriority w:val="9"/>
    <w:rPr>
      <w:rFonts w:ascii="Calibri" w:hAnsi="Calibri" w:eastAsia="宋体" w:cs="Times New Roman"/>
      <w:b/>
      <w:bCs/>
      <w:kern w:val="0"/>
      <w:sz w:val="32"/>
      <w:szCs w:val="32"/>
    </w:rPr>
  </w:style>
  <w:style w:type="character" w:customStyle="1" w:styleId="41">
    <w:name w:val="批注文字 Char"/>
    <w:basedOn w:val="22"/>
    <w:link w:val="7"/>
    <w:autoRedefine/>
    <w:qFormat/>
    <w:uiPriority w:val="0"/>
    <w:rPr>
      <w:rFonts w:ascii="Times New Roman" w:hAnsi="Times New Roman" w:eastAsia="宋体" w:cs="Times New Roman"/>
      <w:szCs w:val="21"/>
    </w:rPr>
  </w:style>
  <w:style w:type="character" w:customStyle="1" w:styleId="42">
    <w:name w:val="正文文本 Char"/>
    <w:basedOn w:val="22"/>
    <w:link w:val="2"/>
    <w:autoRedefine/>
    <w:qFormat/>
    <w:uiPriority w:val="99"/>
    <w:rPr>
      <w:rFonts w:ascii="Calibri" w:hAnsi="Calibri" w:eastAsia="宋体" w:cs="Times New Roman"/>
      <w:kern w:val="0"/>
      <w:szCs w:val="20"/>
    </w:rPr>
  </w:style>
  <w:style w:type="character" w:customStyle="1" w:styleId="43">
    <w:name w:val="HTML 预设格式 Char"/>
    <w:basedOn w:val="22"/>
    <w:link w:val="10"/>
    <w:autoRedefine/>
    <w:qFormat/>
    <w:uiPriority w:val="99"/>
    <w:rPr>
      <w:rFonts w:ascii="Courier New" w:hAnsi="Courier New" w:eastAsia="宋体" w:cs="Courier New"/>
      <w:sz w:val="20"/>
      <w:szCs w:val="20"/>
    </w:rPr>
  </w:style>
  <w:style w:type="character" w:customStyle="1" w:styleId="44">
    <w:name w:val="日期 Char"/>
    <w:basedOn w:val="22"/>
    <w:link w:val="12"/>
    <w:autoRedefine/>
    <w:qFormat/>
    <w:uiPriority w:val="99"/>
    <w:rPr>
      <w:rFonts w:ascii="宋体" w:hAnsi="宋体" w:eastAsia="宋体" w:cs="Times New Roman"/>
      <w:kern w:val="0"/>
      <w:sz w:val="32"/>
      <w:szCs w:val="32"/>
    </w:rPr>
  </w:style>
  <w:style w:type="character" w:customStyle="1" w:styleId="45">
    <w:name w:val="正文文本缩进 2 Char"/>
    <w:basedOn w:val="22"/>
    <w:link w:val="13"/>
    <w:autoRedefine/>
    <w:qFormat/>
    <w:uiPriority w:val="0"/>
    <w:rPr>
      <w:rFonts w:ascii="宋体" w:hAnsi="宋体" w:eastAsia="宋体" w:cs="宋体"/>
      <w:b/>
      <w:kern w:val="1"/>
      <w:sz w:val="24"/>
      <w:szCs w:val="21"/>
    </w:rPr>
  </w:style>
  <w:style w:type="character" w:customStyle="1" w:styleId="46">
    <w:name w:val="批注框文本 Char"/>
    <w:basedOn w:val="22"/>
    <w:link w:val="14"/>
    <w:autoRedefine/>
    <w:qFormat/>
    <w:uiPriority w:val="99"/>
    <w:rPr>
      <w:rFonts w:ascii="Calibri" w:hAnsi="Calibri" w:eastAsia="宋体" w:cs="Times New Roman"/>
      <w:kern w:val="0"/>
      <w:sz w:val="18"/>
      <w:szCs w:val="18"/>
    </w:rPr>
  </w:style>
  <w:style w:type="character" w:customStyle="1" w:styleId="47">
    <w:name w:val="正文首行缩进 Char"/>
    <w:basedOn w:val="42"/>
    <w:link w:val="18"/>
    <w:autoRedefine/>
    <w:qFormat/>
    <w:uiPriority w:val="0"/>
    <w:rPr>
      <w:rFonts w:eastAsia="Arial Unicode MS"/>
      <w:color w:val="000000"/>
      <w:sz w:val="28"/>
      <w:szCs w:val="28"/>
    </w:rPr>
  </w:style>
  <w:style w:type="character" w:customStyle="1" w:styleId="48">
    <w:name w:val="正文文本缩进 Char"/>
    <w:basedOn w:val="22"/>
    <w:link w:val="8"/>
    <w:autoRedefine/>
    <w:semiHidden/>
    <w:qFormat/>
    <w:uiPriority w:val="99"/>
    <w:rPr>
      <w:rFonts w:ascii="Times New Roman" w:hAnsi="Times New Roman" w:eastAsia="宋体" w:cs="Times New Roman"/>
      <w:szCs w:val="21"/>
    </w:rPr>
  </w:style>
  <w:style w:type="character" w:customStyle="1" w:styleId="49">
    <w:name w:val="正文首行缩进 2 Char"/>
    <w:basedOn w:val="48"/>
    <w:link w:val="19"/>
    <w:autoRedefine/>
    <w:semiHidden/>
    <w:qFormat/>
    <w:uiPriority w:val="0"/>
    <w:rPr>
      <w:rFonts w:ascii="Calibri" w:hAnsi="Calibri" w:eastAsia="Arial Unicode MS"/>
      <w:color w:val="000000"/>
      <w:kern w:val="0"/>
      <w:sz w:val="20"/>
    </w:rPr>
  </w:style>
  <w:style w:type="paragraph" w:customStyle="1" w:styleId="50">
    <w:name w:val="文档正文"/>
    <w:basedOn w:val="1"/>
    <w:autoRedefine/>
    <w:qFormat/>
    <w:uiPriority w:val="0"/>
    <w:pPr>
      <w:spacing w:line="480" w:lineRule="atLeast"/>
      <w:ind w:firstLine="567"/>
      <w:textAlignment w:val="baseline"/>
    </w:pPr>
    <w:rPr>
      <w:rFonts w:ascii="仿宋_GB2312" w:hAnsi="仿宋_GB2312" w:eastAsia="宋体" w:cs="宋体"/>
      <w:sz w:val="28"/>
      <w:szCs w:val="28"/>
    </w:rPr>
  </w:style>
  <w:style w:type="paragraph" w:customStyle="1" w:styleId="51">
    <w:name w:val="a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2">
    <w:name w:val="hover1"/>
    <w:basedOn w:val="22"/>
    <w:autoRedefine/>
    <w:qFormat/>
    <w:uiPriority w:val="0"/>
    <w:rPr>
      <w:color w:val="2590EB"/>
    </w:rPr>
  </w:style>
  <w:style w:type="character" w:customStyle="1" w:styleId="53">
    <w:name w:val="hover2"/>
    <w:basedOn w:val="22"/>
    <w:autoRedefine/>
    <w:qFormat/>
    <w:uiPriority w:val="0"/>
    <w:rPr>
      <w:color w:val="2590EB"/>
    </w:rPr>
  </w:style>
  <w:style w:type="character" w:customStyle="1" w:styleId="54">
    <w:name w:val="hover3"/>
    <w:basedOn w:val="22"/>
    <w:autoRedefine/>
    <w:qFormat/>
    <w:uiPriority w:val="0"/>
  </w:style>
  <w:style w:type="character" w:customStyle="1" w:styleId="55">
    <w:name w:val="mini-outputtext1"/>
    <w:basedOn w:val="22"/>
    <w:autoRedefine/>
    <w:qFormat/>
    <w:uiPriority w:val="0"/>
  </w:style>
  <w:style w:type="character" w:customStyle="1" w:styleId="56">
    <w:name w:val="hover"/>
    <w:basedOn w:val="22"/>
    <w:autoRedefine/>
    <w:qFormat/>
    <w:uiPriority w:val="0"/>
  </w:style>
  <w:style w:type="paragraph" w:styleId="57">
    <w:name w:val="List Paragraph"/>
    <w:basedOn w:val="1"/>
    <w:autoRedefine/>
    <w:qFormat/>
    <w:uiPriority w:val="34"/>
    <w:pPr>
      <w:ind w:firstLine="420" w:firstLineChars="200"/>
    </w:pPr>
  </w:style>
  <w:style w:type="paragraph" w:customStyle="1" w:styleId="58">
    <w:name w:val="正文 New New New New New New New New New New New New New"/>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paragraph" w:customStyle="1" w:styleId="59">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60">
    <w:name w:val="正文首行缩进两字符"/>
    <w:basedOn w:val="1"/>
    <w:autoRedefine/>
    <w:qFormat/>
    <w:uiPriority w:val="0"/>
    <w:pPr>
      <w:spacing w:line="360" w:lineRule="auto"/>
      <w:ind w:firstLine="200" w:firstLineChars="200"/>
    </w:p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15160</Words>
  <Characters>16748</Characters>
  <Lines>600</Lines>
  <Paragraphs>652</Paragraphs>
  <TotalTime>7</TotalTime>
  <ScaleCrop>false</ScaleCrop>
  <LinksUpToDate>false</LinksUpToDate>
  <CharactersWithSpaces>16857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2022-08-16T22:29:00Z</dcterms:created>
  <dc:creator>汇今工程咨询有限公司:汇今工程咨询有限公司(代理)</dc:creator>
  <cp:lastModifiedBy>日久见人心。</cp:lastModifiedBy>
  <dcterms:modified xsi:type="dcterms:W3CDTF">2025-11-27T06:05:01Z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EA32E5BD61834349A513B1FAA9A4197F_13</vt:lpwstr>
  </property>
  <property fmtid="{D5CDD505-2E9C-101B-9397-08002B2CF9AE}" pid="4" name="KSOTemplateDocerSaveRecord">
    <vt:lpwstr>eyJoZGlkIjoiZTM5ODk0ZDdjNjZjYmE1MzlmNzI2YjZjNzdjYWM0MTYiLCJ1c2VySWQiOiIzNjgzNTc2NjEifQ==</vt:lpwstr>
  </property>
</Properties>
</file>